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5D4B9" w14:textId="77777777" w:rsidR="007C2EE2" w:rsidRDefault="004A139E" w:rsidP="00721974">
      <w:pPr>
        <w:widowControl/>
        <w:tabs>
          <w:tab w:val="right" w:pos="9630"/>
        </w:tabs>
        <w:snapToGrid w:val="0"/>
        <w:jc w:val="left"/>
        <w:rPr>
          <w:rFonts w:ascii="Arial" w:eastAsia="宋体" w:hAnsi="Arial" w:cs="Times New Roman"/>
          <w:b/>
        </w:rPr>
      </w:pPr>
      <w:bookmarkStart w:id="0" w:name="_GoBack"/>
      <w:bookmarkEnd w:id="0"/>
      <w:r>
        <w:rPr>
          <w:rFonts w:ascii="Arial" w:eastAsia="MS Mincho" w:hAnsi="Arial" w:cs="Times New Roman"/>
          <w:b/>
          <w:lang w:eastAsia="en-US"/>
        </w:rPr>
        <w:t>3GPP TSG RAN Meeting #10</w:t>
      </w:r>
      <w:r>
        <w:rPr>
          <w:rFonts w:ascii="Arial" w:hAnsi="Arial" w:cs="Times New Roman" w:hint="eastAsia"/>
          <w:b/>
        </w:rPr>
        <w:t>8</w:t>
      </w:r>
      <w:r>
        <w:rPr>
          <w:rFonts w:eastAsia="宋体" w:cs="Times New Roman"/>
          <w:b/>
        </w:rPr>
        <w:tab/>
      </w:r>
      <w:r>
        <w:rPr>
          <w:rFonts w:ascii="Arial" w:eastAsia="宋体" w:hAnsi="Arial" w:cs="Times New Roman" w:hint="eastAsia"/>
          <w:b/>
        </w:rPr>
        <w:t>RP-251740</w:t>
      </w:r>
    </w:p>
    <w:p w14:paraId="71CE8AAE" w14:textId="77777777" w:rsidR="007C2EE2" w:rsidRDefault="004A139E">
      <w:pPr>
        <w:widowControl/>
        <w:snapToGrid w:val="0"/>
        <w:jc w:val="left"/>
        <w:rPr>
          <w:rFonts w:ascii="Arial" w:hAnsi="Arial" w:cs="Times New Roman"/>
          <w:b/>
        </w:rPr>
      </w:pPr>
      <w:r>
        <w:rPr>
          <w:rFonts w:ascii="Arial" w:hAnsi="Arial" w:cs="Times New Roman" w:hint="eastAsia"/>
          <w:b/>
        </w:rPr>
        <w:t>Prague</w:t>
      </w:r>
      <w:r>
        <w:rPr>
          <w:rFonts w:ascii="Arial" w:eastAsia="MS Mincho" w:hAnsi="Arial" w:cs="Times New Roman"/>
          <w:b/>
          <w:lang w:eastAsia="en-US"/>
        </w:rPr>
        <w:t xml:space="preserve">, </w:t>
      </w:r>
      <w:r>
        <w:rPr>
          <w:rFonts w:ascii="Arial" w:hAnsi="Arial" w:cs="Times New Roman" w:hint="eastAsia"/>
          <w:b/>
        </w:rPr>
        <w:t>C</w:t>
      </w:r>
      <w:r>
        <w:rPr>
          <w:rFonts w:ascii="Arial" w:eastAsia="MS Mincho" w:hAnsi="Arial" w:cs="Times New Roman"/>
          <w:b/>
          <w:lang w:eastAsia="en-US"/>
        </w:rPr>
        <w:t xml:space="preserve">zech </w:t>
      </w:r>
      <w:r>
        <w:rPr>
          <w:rFonts w:ascii="Arial" w:hAnsi="Arial" w:cs="Times New Roman" w:hint="eastAsia"/>
          <w:b/>
        </w:rPr>
        <w:t>R</w:t>
      </w:r>
      <w:r>
        <w:rPr>
          <w:rFonts w:ascii="Arial" w:eastAsia="MS Mincho" w:hAnsi="Arial" w:cs="Times New Roman"/>
          <w:b/>
          <w:lang w:eastAsia="en-US"/>
        </w:rPr>
        <w:t xml:space="preserve">epublic, </w:t>
      </w:r>
      <w:r>
        <w:rPr>
          <w:rFonts w:ascii="Arial" w:hAnsi="Arial" w:cs="Times New Roman" w:hint="eastAsia"/>
          <w:b/>
        </w:rPr>
        <w:t>June 9-13</w:t>
      </w:r>
      <w:r>
        <w:rPr>
          <w:rFonts w:ascii="Arial" w:eastAsia="MS Mincho" w:hAnsi="Arial" w:cs="Times New Roman"/>
          <w:b/>
          <w:lang w:eastAsia="en-US"/>
        </w:rPr>
        <w:t>, 2</w:t>
      </w:r>
      <w:r>
        <w:rPr>
          <w:rFonts w:ascii="Arial" w:eastAsia="t" w:hAnsi="Arial" w:cs="Times New Roman"/>
          <w:b/>
        </w:rPr>
        <w:t>02</w:t>
      </w:r>
      <w:r>
        <w:rPr>
          <w:rFonts w:ascii="Arial" w:hAnsi="Arial" w:cs="Times New Roman"/>
          <w:b/>
        </w:rPr>
        <w:t>5</w:t>
      </w:r>
    </w:p>
    <w:p w14:paraId="1BAB2E5F" w14:textId="77777777" w:rsidR="007C2EE2" w:rsidRDefault="007C2EE2">
      <w:pPr>
        <w:widowControl/>
        <w:snapToGrid w:val="0"/>
        <w:jc w:val="left"/>
        <w:rPr>
          <w:rFonts w:ascii="Arial" w:hAnsi="Arial" w:cs="Times New Roman"/>
          <w:b/>
        </w:rPr>
      </w:pPr>
    </w:p>
    <w:p w14:paraId="111EC16A" w14:textId="77777777" w:rsidR="007C2EE2" w:rsidRDefault="004A139E">
      <w:pPr>
        <w:widowControl/>
        <w:tabs>
          <w:tab w:val="left" w:pos="1805"/>
          <w:tab w:val="right" w:pos="9072"/>
        </w:tabs>
        <w:snapToGrid w:val="0"/>
        <w:ind w:left="1803" w:hanging="1803"/>
        <w:jc w:val="left"/>
        <w:rPr>
          <w:rFonts w:cs="Times New Roman"/>
          <w:b/>
          <w:bCs/>
        </w:rPr>
      </w:pPr>
      <w:r>
        <w:rPr>
          <w:rFonts w:ascii="Arial" w:eastAsia="MS Mincho" w:hAnsi="Arial" w:cs="Times New Roman"/>
          <w:b/>
        </w:rPr>
        <w:t>Source:</w:t>
      </w:r>
      <w:r>
        <w:rPr>
          <w:rFonts w:eastAsia="宋体" w:cs="Times New Roman"/>
          <w:b/>
          <w:bCs/>
        </w:rPr>
        <w:tab/>
      </w:r>
      <w:r>
        <w:rPr>
          <w:rFonts w:ascii="Arial" w:eastAsia="MS Mincho" w:hAnsi="Arial" w:cs="Times New Roman"/>
          <w:b/>
        </w:rPr>
        <w:t>ZTE</w:t>
      </w:r>
      <w:r>
        <w:rPr>
          <w:rFonts w:ascii="Arial" w:hAnsi="Arial" w:cs="Times New Roman" w:hint="eastAsia"/>
          <w:b/>
        </w:rPr>
        <w:t xml:space="preserve"> Corporation, Sanechips</w:t>
      </w:r>
    </w:p>
    <w:p w14:paraId="63EEBD3F" w14:textId="77777777" w:rsidR="007C2EE2" w:rsidRDefault="004A139E">
      <w:pPr>
        <w:widowControl/>
        <w:tabs>
          <w:tab w:val="left" w:pos="1800"/>
          <w:tab w:val="center" w:pos="4536"/>
          <w:tab w:val="right" w:pos="9072"/>
        </w:tabs>
        <w:snapToGrid w:val="0"/>
        <w:ind w:left="2007" w:hangingChars="833" w:hanging="2007"/>
        <w:jc w:val="left"/>
        <w:rPr>
          <w:rFonts w:cs="Times New Roman"/>
          <w:b/>
          <w:bCs/>
        </w:rPr>
      </w:pPr>
      <w:r>
        <w:rPr>
          <w:rFonts w:ascii="Arial" w:eastAsia="MS Mincho" w:hAnsi="Arial" w:cs="Times New Roman"/>
          <w:b/>
        </w:rPr>
        <w:t>Title:</w:t>
      </w:r>
      <w:r>
        <w:rPr>
          <w:rFonts w:eastAsia="宋体" w:cs="Times New Roman"/>
          <w:b/>
          <w:bCs/>
        </w:rPr>
        <w:tab/>
      </w:r>
      <w:bookmarkStart w:id="1" w:name="OLE_LINK3"/>
      <w:r>
        <w:rPr>
          <w:rFonts w:ascii="Arial" w:hAnsi="Arial" w:cs="Times New Roman" w:hint="eastAsia"/>
          <w:b/>
        </w:rPr>
        <w:t xml:space="preserve">General views on </w:t>
      </w:r>
      <w:bookmarkEnd w:id="1"/>
      <w:r>
        <w:rPr>
          <w:rFonts w:ascii="Arial" w:hAnsi="Arial" w:cs="Times New Roman" w:hint="eastAsia"/>
          <w:b/>
        </w:rPr>
        <w:t>6G deployment scenarios</w:t>
      </w:r>
    </w:p>
    <w:p w14:paraId="58DF0D80" w14:textId="77777777" w:rsidR="007C2EE2" w:rsidRDefault="004A139E">
      <w:pPr>
        <w:widowControl/>
        <w:tabs>
          <w:tab w:val="left" w:pos="1800"/>
          <w:tab w:val="center" w:pos="4536"/>
          <w:tab w:val="right" w:pos="9072"/>
        </w:tabs>
        <w:snapToGrid w:val="0"/>
        <w:jc w:val="left"/>
        <w:rPr>
          <w:rFonts w:cs="Times New Roman"/>
          <w:b/>
          <w:bCs/>
        </w:rPr>
      </w:pPr>
      <w:r>
        <w:rPr>
          <w:rFonts w:ascii="Arial" w:eastAsia="MS Mincho" w:hAnsi="Arial" w:cs="Times New Roman"/>
          <w:b/>
        </w:rPr>
        <w:t>Agenda Item:</w:t>
      </w:r>
      <w:r>
        <w:rPr>
          <w:rFonts w:eastAsia="宋体" w:cs="Times New Roman"/>
          <w:b/>
          <w:bCs/>
        </w:rPr>
        <w:tab/>
      </w:r>
      <w:r>
        <w:rPr>
          <w:rFonts w:ascii="Arial" w:hAnsi="Arial" w:cs="Times New Roman" w:hint="eastAsia"/>
          <w:b/>
        </w:rPr>
        <w:t>16.1</w:t>
      </w:r>
    </w:p>
    <w:p w14:paraId="0015CBC2" w14:textId="77777777" w:rsidR="007C2EE2" w:rsidRDefault="004A139E">
      <w:pPr>
        <w:snapToGrid w:val="0"/>
        <w:ind w:left="1985" w:hanging="1985"/>
        <w:rPr>
          <w:rFonts w:ascii="Arial" w:hAnsi="Arial" w:cs="Arial"/>
          <w:b/>
          <w:bCs/>
        </w:rPr>
      </w:pPr>
      <w:r>
        <w:rPr>
          <w:rFonts w:ascii="Arial" w:eastAsia="MS Mincho" w:hAnsi="Arial" w:cs="Times New Roman"/>
          <w:b/>
          <w:lang w:eastAsia="en-US"/>
        </w:rPr>
        <w:t>Document for:</w:t>
      </w:r>
      <w:r>
        <w:rPr>
          <w:rFonts w:ascii="Arial" w:eastAsia="宋体" w:hAnsi="Arial" w:cs="Times New Roman" w:hint="eastAsia"/>
          <w:b/>
        </w:rPr>
        <w:t xml:space="preserve">   </w:t>
      </w:r>
      <w:r>
        <w:rPr>
          <w:rFonts w:ascii="Arial" w:eastAsia="MS Mincho" w:hAnsi="Arial" w:cs="Times New Roman"/>
          <w:b/>
          <w:lang w:eastAsia="ja-JP"/>
        </w:rPr>
        <w:t>Discussion and Decision</w:t>
      </w:r>
    </w:p>
    <w:p w14:paraId="5F36864D" w14:textId="77777777" w:rsidR="007C2EE2" w:rsidRDefault="004A139E">
      <w:pPr>
        <w:pStyle w:val="1"/>
        <w:numPr>
          <w:ilvl w:val="0"/>
          <w:numId w:val="7"/>
        </w:numPr>
        <w:snapToGrid w:val="0"/>
        <w:spacing w:before="120" w:line="276" w:lineRule="auto"/>
        <w:rPr>
          <w:rFonts w:ascii="Times New Roman" w:hAnsi="Times New Roman"/>
          <w:b/>
          <w:sz w:val="32"/>
          <w:lang w:eastAsia="zh-CN"/>
        </w:rPr>
      </w:pPr>
      <w:r>
        <w:rPr>
          <w:rFonts w:ascii="Times New Roman" w:hAnsi="Times New Roman"/>
          <w:b/>
          <w:sz w:val="32"/>
        </w:rPr>
        <w:tab/>
        <w:t>Introduction</w:t>
      </w:r>
    </w:p>
    <w:p w14:paraId="49CB13FC" w14:textId="77777777" w:rsidR="007C2EE2" w:rsidRDefault="004A139E" w:rsidP="000C735E">
      <w:pPr>
        <w:tabs>
          <w:tab w:val="left" w:pos="90"/>
          <w:tab w:val="left" w:pos="1868"/>
          <w:tab w:val="right" w:pos="10648"/>
        </w:tabs>
        <w:autoSpaceDE w:val="0"/>
        <w:autoSpaceDN w:val="0"/>
        <w:adjustRightInd w:val="0"/>
        <w:snapToGrid w:val="0"/>
        <w:spacing w:before="120" w:afterLines="50" w:after="120"/>
        <w:jc w:val="left"/>
        <w:rPr>
          <w:rFonts w:ascii="Times New Roman" w:eastAsia="微软雅黑" w:hAnsi="Times New Roman" w:cs="Times New Roman"/>
          <w:sz w:val="20"/>
          <w:szCs w:val="20"/>
        </w:rPr>
      </w:pPr>
      <w:bookmarkStart w:id="2" w:name="OLE_LINK1"/>
      <w:r>
        <w:rPr>
          <w:rFonts w:ascii="Times New Roman" w:eastAsia="微软雅黑" w:hAnsi="Times New Roman" w:cs="Times New Roman"/>
          <w:sz w:val="20"/>
          <w:szCs w:val="20"/>
        </w:rPr>
        <w:t xml:space="preserve">In RAN#107 meeting, the new 6G RAN SID was updated, where new services and the corresponding scenarios and requirements should be a crucial part of study. The agreed objective is listed below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C2EE2" w14:paraId="73808711" w14:textId="77777777">
        <w:trPr>
          <w:trHeight w:val="932"/>
        </w:trPr>
        <w:tc>
          <w:tcPr>
            <w:tcW w:w="9576" w:type="dxa"/>
            <w:tcBorders>
              <w:top w:val="single" w:sz="4" w:space="0" w:color="auto"/>
              <w:left w:val="single" w:sz="4" w:space="0" w:color="auto"/>
              <w:bottom w:val="single" w:sz="4" w:space="0" w:color="auto"/>
              <w:right w:val="single" w:sz="4" w:space="0" w:color="auto"/>
              <w:tl2br w:val="nil"/>
              <w:tr2bl w:val="nil"/>
            </w:tcBorders>
          </w:tcPr>
          <w:p w14:paraId="0ECA9420" w14:textId="77777777" w:rsidR="007C2EE2" w:rsidRDefault="004A139E">
            <w:pPr>
              <w:snapToGrid w:val="0"/>
              <w:spacing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This study item aims to </w:t>
            </w:r>
          </w:p>
          <w:p w14:paraId="0CA1407B" w14:textId="77777777" w:rsidR="007C2EE2" w:rsidRDefault="004A139E">
            <w:pPr>
              <w:numPr>
                <w:ilvl w:val="0"/>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investigate a candidate set of items for minimum TPRs based on the Recommendation ITU-R M.2160, and, where applicable, the associated target values and key assumptions for the identified minimum TPRs.</w:t>
            </w:r>
          </w:p>
          <w:p w14:paraId="213372A5"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The outcome is expected to be shared by LS with ITU-R WP5D, as suitable, and used as a baseline for the subsequent study 6G in RAN</w:t>
            </w:r>
          </w:p>
          <w:p w14:paraId="4DC1F41D" w14:textId="77777777" w:rsidR="007C2EE2" w:rsidRDefault="004A139E">
            <w:pPr>
              <w:numPr>
                <w:ilvl w:val="0"/>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Identify typical and practical deployment scenarios defined by attributes such as carrier frequency, inter-site distance, user density, maximum mobility speed, and other relevant factors.</w:t>
            </w:r>
          </w:p>
          <w:p w14:paraId="24BEE403" w14:textId="77777777" w:rsidR="007C2EE2" w:rsidRDefault="004A139E">
            <w:pPr>
              <w:numPr>
                <w:ilvl w:val="0"/>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Develop 3GPP requirements for 6G Radio for improvement of existing services and for new services.</w:t>
            </w:r>
          </w:p>
          <w:p w14:paraId="4A3E1B02" w14:textId="77777777" w:rsidR="007C2EE2" w:rsidRDefault="004A139E">
            <w:pPr>
              <w:numPr>
                <w:ilvl w:val="0"/>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Determine the applicability of legacy services to 6G Radio, and define radio requirements for these, as appropriate.</w:t>
            </w:r>
          </w:p>
          <w:p w14:paraId="4B9F0659" w14:textId="77777777" w:rsidR="007C2EE2" w:rsidRDefault="004A139E">
            <w:pPr>
              <w:numPr>
                <w:ilvl w:val="0"/>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 xml:space="preserve">Develop 3GPP requirements for 6G Radio for these practical deployment scenarios to ensure substantial gains in all relevant bands: overall performance, user experience, TCO reduction including at least: </w:t>
            </w:r>
          </w:p>
          <w:p w14:paraId="2EC37061"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Ensure appropriate set of functionalities, minimize the adoption of multiple options for the same functionality, avoid excessive configurations, excessive UE capabilities and UE capabilities reporting</w:t>
            </w:r>
          </w:p>
          <w:p w14:paraId="1ABB103C"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Energy efficiency and energy saving: both for network and device</w:t>
            </w:r>
          </w:p>
          <w:p w14:paraId="156A7CDB"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 xml:space="preserve">Enhanced spectral efficiency </w:t>
            </w:r>
          </w:p>
          <w:p w14:paraId="314493BC"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Enhanced overall coverage, focus on cell-edge performance and UL coverage</w:t>
            </w:r>
          </w:p>
          <w:p w14:paraId="2EE45349"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Wider channel bandwidth (at least 200MHz) support for 6G deployments at least above 2 GHz, around 7 GHz</w:t>
            </w:r>
          </w:p>
          <w:p w14:paraId="085BF602"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Re-use of existing 5G mid-band (~3.5GHz) site grid for 6G deployments in at least around 7 GHz and targeting comparable coverage to 5G mid-band</w:t>
            </w:r>
          </w:p>
          <w:p w14:paraId="4AF96013"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Target scalable and forward compatible design for diverse device types</w:t>
            </w:r>
          </w:p>
          <w:p w14:paraId="5BE79F54"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Improved spectrum utilization and operations taking into account diverse spectrum allocations</w:t>
            </w:r>
          </w:p>
          <w:p w14:paraId="5FD83EF8"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Aim at using common 6G Radio design, which meets mobile broadband service requirements as high priority, to also meet vertical needs</w:t>
            </w:r>
          </w:p>
          <w:p w14:paraId="05F487B0"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Aim at a harmonized 6G Radio design for TN and NTN, including their integration</w:t>
            </w:r>
          </w:p>
          <w:p w14:paraId="11062B61"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System simplification, including reducing configuration complexity, enabling more efficient Cell/UE management, etc.</w:t>
            </w:r>
          </w:p>
          <w:p w14:paraId="34BAE3CF" w14:textId="77777777" w:rsidR="007C2EE2" w:rsidRDefault="004A139E">
            <w:pPr>
              <w:numPr>
                <w:ilvl w:val="0"/>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Define a time plan and steer work as appropriate for the RAN WGs during the 6G WG SI to deliver high-level decisions at least on the following areas:</w:t>
            </w:r>
          </w:p>
          <w:p w14:paraId="00C23F30"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Fundamental 6G radio design aspects: waveform, numerology, channel coding, etc…</w:t>
            </w:r>
          </w:p>
          <w:p w14:paraId="36FED6C0"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Overall high-level aspects of 5G to 6G migration</w:t>
            </w:r>
          </w:p>
          <w:p w14:paraId="69815412"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RAN architecture and interfaces, including RAN-Core interface</w:t>
            </w:r>
          </w:p>
          <w:p w14:paraId="2183376B" w14:textId="77777777" w:rsidR="007C2EE2" w:rsidRDefault="004A139E">
            <w:pPr>
              <w:numPr>
                <w:ilvl w:val="1"/>
                <w:numId w:val="8"/>
              </w:numPr>
              <w:snapToGrid w:val="0"/>
              <w:spacing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Coordination of 6G AI/ML framework</w:t>
            </w:r>
          </w:p>
          <w:p w14:paraId="41F1C788" w14:textId="77777777" w:rsidR="007C2EE2" w:rsidRDefault="004A139E">
            <w:pPr>
              <w:snapToGrid w:val="0"/>
              <w:spacing w:before="120" w:afterLines="50" w:after="120"/>
              <w:jc w:val="left"/>
              <w:rPr>
                <w:rFonts w:ascii="Times New Roman" w:eastAsia="微软雅黑" w:hAnsi="Times New Roman" w:cs="Times New Roman"/>
                <w:sz w:val="20"/>
                <w:szCs w:val="20"/>
              </w:rPr>
            </w:pPr>
            <w:r>
              <w:rPr>
                <w:rFonts w:ascii="Times New Roman" w:hAnsi="Times New Roman" w:cs="Times New Roman"/>
                <w:sz w:val="20"/>
                <w:szCs w:val="20"/>
              </w:rPr>
              <w:lastRenderedPageBreak/>
              <w:t>Note: The detailed time plan for the high-level decisions above will be decided at RAN#108 at the approval of the 6G RAN WG SI and is to be aligned with the RAN SI progress.</w:t>
            </w:r>
          </w:p>
        </w:tc>
      </w:tr>
    </w:tbl>
    <w:bookmarkEnd w:id="2"/>
    <w:p w14:paraId="24CA8F23" w14:textId="77777777" w:rsidR="007C2EE2" w:rsidRDefault="004A139E" w:rsidP="000C735E">
      <w:pPr>
        <w:snapToGrid w:val="0"/>
        <w:spacing w:before="120" w:afterLines="50" w:after="120"/>
        <w:textAlignment w:val="center"/>
        <w:rPr>
          <w:rFonts w:ascii="Times New Roman" w:hAnsi="Times New Roman" w:cs="Times New Roman"/>
          <w:sz w:val="20"/>
        </w:rPr>
      </w:pPr>
      <w:r>
        <w:rPr>
          <w:rFonts w:ascii="Times New Roman" w:hAnsi="Times New Roman" w:cs="Times New Roman"/>
          <w:sz w:val="20"/>
          <w:szCs w:val="20"/>
        </w:rPr>
        <w:lastRenderedPageBreak/>
        <w:t>In this contribution, we elaborate our general views on 6G deployment scenarios, especially based on the analysis from coverage and energy efficiency perspective</w:t>
      </w:r>
      <w:r>
        <w:rPr>
          <w:rFonts w:ascii="Times New Roman" w:eastAsia="等线" w:hAnsi="Times New Roman" w:cs="Times New Roman"/>
          <w:sz w:val="20"/>
          <w:szCs w:val="20"/>
        </w:rPr>
        <w:t>.</w:t>
      </w:r>
      <w:r>
        <w:rPr>
          <w:rFonts w:ascii="Times New Roman" w:hAnsi="Times New Roman" w:cs="Times New Roman"/>
          <w:sz w:val="20"/>
          <w:szCs w:val="20"/>
        </w:rPr>
        <w:t xml:space="preserve"> </w:t>
      </w:r>
      <w:bookmarkStart w:id="3" w:name="_Ref32606445"/>
    </w:p>
    <w:p w14:paraId="09E20437" w14:textId="77777777" w:rsidR="007C2EE2" w:rsidRDefault="004A139E">
      <w:pPr>
        <w:pStyle w:val="1"/>
        <w:numPr>
          <w:ilvl w:val="0"/>
          <w:numId w:val="7"/>
        </w:numPr>
        <w:snapToGrid w:val="0"/>
        <w:spacing w:before="120" w:line="276" w:lineRule="auto"/>
        <w:rPr>
          <w:rFonts w:ascii="Times New Roman" w:hAnsi="Times New Roman"/>
          <w:b/>
          <w:sz w:val="32"/>
          <w:lang w:val="en-US" w:eastAsia="zh-CN"/>
        </w:rPr>
      </w:pPr>
      <w:r>
        <w:rPr>
          <w:rFonts w:ascii="Times New Roman" w:hAnsi="Times New Roman"/>
          <w:b/>
          <w:sz w:val="32"/>
          <w:lang w:val="en-US" w:eastAsia="zh-CN"/>
        </w:rPr>
        <w:t>Discussion</w:t>
      </w:r>
    </w:p>
    <w:p w14:paraId="3EC864EF" w14:textId="77777777" w:rsidR="007C2EE2" w:rsidRDefault="004A139E" w:rsidP="00721974">
      <w:pPr>
        <w:snapToGrid w:val="0"/>
        <w:spacing w:beforeLines="50" w:before="120" w:afterLines="50" w:after="120"/>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As shown in the SID in above box of section 1, the goal of 6G includes the following two bullets: </w:t>
      </w:r>
    </w:p>
    <w:p w14:paraId="28D4EC15" w14:textId="77777777" w:rsidR="007C2EE2" w:rsidRDefault="004A139E" w:rsidP="00721974">
      <w:pPr>
        <w:numPr>
          <w:ilvl w:val="1"/>
          <w:numId w:val="8"/>
        </w:numPr>
        <w:snapToGrid w:val="0"/>
        <w:spacing w:beforeLines="50"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Enhanced overall coverage, focus on cell-edge performance and UL coverage</w:t>
      </w:r>
    </w:p>
    <w:p w14:paraId="0B71B182" w14:textId="77777777" w:rsidR="007C2EE2" w:rsidRDefault="004A139E" w:rsidP="00721974">
      <w:pPr>
        <w:numPr>
          <w:ilvl w:val="1"/>
          <w:numId w:val="8"/>
        </w:numPr>
        <w:snapToGrid w:val="0"/>
        <w:spacing w:beforeLines="50" w:before="120" w:afterLines="50" w:after="120"/>
        <w:jc w:val="left"/>
        <w:rPr>
          <w:rFonts w:ascii="Times New Roman" w:eastAsia="等线" w:hAnsi="Times New Roman" w:cs="Times New Roman"/>
          <w:sz w:val="20"/>
          <w:szCs w:val="20"/>
        </w:rPr>
      </w:pPr>
      <w:r>
        <w:rPr>
          <w:rFonts w:ascii="Times New Roman" w:eastAsia="等线" w:hAnsi="Times New Roman" w:cs="Times New Roman"/>
          <w:sz w:val="20"/>
          <w:szCs w:val="20"/>
        </w:rPr>
        <w:t>Re-use of existing 5G mid-band (~3.5GHz) site grid for 6G deployments in at least around 7 GHz and targeting comparable coverage to 5G mid-band</w:t>
      </w:r>
    </w:p>
    <w:p w14:paraId="23B36D78" w14:textId="77777777" w:rsidR="007C2EE2" w:rsidRDefault="004A139E" w:rsidP="00721974">
      <w:pPr>
        <w:snapToGrid w:val="0"/>
        <w:spacing w:beforeLines="50" w:before="120" w:afterLines="50" w:after="120"/>
        <w:textAlignment w:val="center"/>
        <w:rPr>
          <w:rFonts w:ascii="Times New Roman" w:hAnsi="Times New Roman" w:cs="Times New Roman"/>
          <w:bCs/>
          <w:sz w:val="20"/>
          <w:szCs w:val="20"/>
        </w:rPr>
      </w:pPr>
      <w:r>
        <w:rPr>
          <w:rFonts w:ascii="Times New Roman" w:hAnsi="Times New Roman" w:cs="Times New Roman"/>
          <w:bCs/>
          <w:sz w:val="20"/>
          <w:szCs w:val="20"/>
        </w:rPr>
        <w:t>As the frequency goes up, e.g. from 3.5GHz to 7 GHz, both propagation loss and penetration loss increase significantly. It results in an estimated 12 dB coverage gap between 3.5GHz and 7 GHz. Compensating for this gap is crucial to ensure successful 6G deployment. In order to enhance overall cell-edge performance, and meanwhile to ensure e</w:t>
      </w:r>
      <w:r>
        <w:rPr>
          <w:rFonts w:ascii="Times New Roman" w:eastAsia="等线" w:hAnsi="Times New Roman" w:cs="Times New Roman"/>
          <w:sz w:val="20"/>
          <w:szCs w:val="20"/>
        </w:rPr>
        <w:t>nergy efficiency and energy saving for both network and UE side, the</w:t>
      </w:r>
      <w:r>
        <w:rPr>
          <w:rFonts w:ascii="Times New Roman" w:hAnsi="Times New Roman" w:cs="Times New Roman"/>
          <w:bCs/>
          <w:sz w:val="20"/>
          <w:szCs w:val="20"/>
        </w:rPr>
        <w:t xml:space="preserve"> following directions having impacts on the deployment scenario and requirements should be considered. </w:t>
      </w:r>
    </w:p>
    <w:p w14:paraId="357B52A3" w14:textId="77777777" w:rsidR="007C2EE2" w:rsidRDefault="004A139E" w:rsidP="00721974">
      <w:pPr>
        <w:pStyle w:val="aff3"/>
        <w:numPr>
          <w:ilvl w:val="0"/>
          <w:numId w:val="9"/>
        </w:numPr>
        <w:snapToGrid w:val="0"/>
        <w:spacing w:beforeLines="50" w:before="120" w:afterLines="50" w:after="120"/>
        <w:contextualSpacing w:val="0"/>
        <w:textAlignment w:val="center"/>
        <w:rPr>
          <w:rFonts w:ascii="Times New Roman" w:hAnsi="Times New Roman" w:cs="Times New Roman"/>
          <w:bCs/>
          <w:sz w:val="20"/>
          <w:szCs w:val="20"/>
        </w:rPr>
      </w:pPr>
      <w:r>
        <w:rPr>
          <w:rFonts w:ascii="Times New Roman" w:hAnsi="Times New Roman" w:cs="Times New Roman"/>
          <w:bCs/>
          <w:sz w:val="20"/>
          <w:szCs w:val="20"/>
          <w:lang w:eastAsia="zh-CN"/>
        </w:rPr>
        <w:t xml:space="preserve">Spatial domain, such as increasing </w:t>
      </w:r>
      <w:r>
        <w:rPr>
          <w:rFonts w:ascii="Times New Roman" w:hAnsi="Times New Roman" w:cs="Times New Roman"/>
          <w:bCs/>
          <w:sz w:val="20"/>
          <w:szCs w:val="20"/>
        </w:rPr>
        <w:t>the number of antennas/RF chains at the BS and</w:t>
      </w:r>
      <w:r>
        <w:rPr>
          <w:rFonts w:ascii="Times New Roman" w:hAnsi="Times New Roman" w:cs="Times New Roman"/>
          <w:bCs/>
          <w:sz w:val="20"/>
          <w:szCs w:val="20"/>
          <w:lang w:eastAsia="zh-CN"/>
        </w:rPr>
        <w:t>/or</w:t>
      </w:r>
      <w:r>
        <w:rPr>
          <w:rFonts w:ascii="Times New Roman" w:hAnsi="Times New Roman" w:cs="Times New Roman"/>
          <w:bCs/>
          <w:sz w:val="20"/>
          <w:szCs w:val="20"/>
        </w:rPr>
        <w:t xml:space="preserve"> UE, and introduce coherent joint transmission multi-TRP (CJT-mTRP) and new architecture of DL-TRP and UL-TRP decoupling, i.e., asymmetric DL sTRP/UL mTRP</w:t>
      </w:r>
      <w:r>
        <w:rPr>
          <w:rFonts w:ascii="Times New Roman" w:hAnsi="Times New Roman" w:cs="Times New Roman"/>
          <w:bCs/>
          <w:sz w:val="20"/>
          <w:szCs w:val="20"/>
          <w:lang w:eastAsia="zh-CN"/>
        </w:rPr>
        <w:t xml:space="preserve">. </w:t>
      </w:r>
    </w:p>
    <w:p w14:paraId="571DF9FA" w14:textId="77777777" w:rsidR="007C2EE2" w:rsidRDefault="004A139E" w:rsidP="00721974">
      <w:pPr>
        <w:pStyle w:val="aff3"/>
        <w:numPr>
          <w:ilvl w:val="0"/>
          <w:numId w:val="9"/>
        </w:numPr>
        <w:snapToGrid w:val="0"/>
        <w:spacing w:beforeLines="50" w:before="120" w:afterLines="50" w:after="120"/>
        <w:contextualSpacing w:val="0"/>
        <w:textAlignment w:val="center"/>
        <w:rPr>
          <w:rFonts w:ascii="Times New Roman" w:hAnsi="Times New Roman" w:cs="Times New Roman"/>
          <w:bCs/>
          <w:sz w:val="20"/>
          <w:szCs w:val="20"/>
        </w:rPr>
      </w:pPr>
      <w:r>
        <w:rPr>
          <w:rFonts w:ascii="Times New Roman" w:hAnsi="Times New Roman" w:cs="Times New Roman"/>
          <w:bCs/>
          <w:sz w:val="20"/>
          <w:szCs w:val="20"/>
        </w:rPr>
        <w:t xml:space="preserve">Multi-carrier operation, allowing UEs to flexibly operate across both 7 GHz and lower frequency bands with minimal UE complexity. Especially, for UL, a UE configuring with both low frequency and high frequency carriers can solve the coverage issue while keep good system capacity. </w:t>
      </w:r>
    </w:p>
    <w:p w14:paraId="340BBF97" w14:textId="2F7F4DFC" w:rsidR="007C2EE2" w:rsidRDefault="000C735E" w:rsidP="00721974">
      <w:pPr>
        <w:pStyle w:val="aff3"/>
        <w:numPr>
          <w:ilvl w:val="255"/>
          <w:numId w:val="0"/>
        </w:numPr>
        <w:snapToGrid w:val="0"/>
        <w:spacing w:beforeLines="50" w:before="120" w:afterLines="50" w:after="120"/>
        <w:contextualSpacing w:val="0"/>
        <w:textAlignment w:val="center"/>
        <w:rPr>
          <w:rFonts w:ascii="Times New Roman" w:hAnsi="Times New Roman" w:cs="Times New Roman"/>
          <w:bCs/>
          <w:sz w:val="20"/>
          <w:szCs w:val="20"/>
          <w:lang w:eastAsia="zh-CN"/>
        </w:rPr>
      </w:pPr>
      <w:r>
        <w:rPr>
          <w:rFonts w:ascii="Times New Roman" w:hAnsi="Times New Roman" w:cs="Times New Roman"/>
          <w:bCs/>
          <w:sz w:val="20"/>
          <w:szCs w:val="20"/>
          <w:lang w:eastAsia="zh-CN"/>
        </w:rPr>
        <w:t>In addition to</w:t>
      </w:r>
      <w:r w:rsidR="004A139E">
        <w:rPr>
          <w:rFonts w:ascii="Times New Roman" w:hAnsi="Times New Roman" w:cs="Times New Roman" w:hint="eastAsia"/>
          <w:bCs/>
          <w:sz w:val="20"/>
          <w:szCs w:val="20"/>
          <w:lang w:eastAsia="zh-CN"/>
        </w:rPr>
        <w:t xml:space="preserve"> the above consider</w:t>
      </w:r>
      <w:r>
        <w:rPr>
          <w:rFonts w:ascii="Times New Roman" w:hAnsi="Times New Roman" w:cs="Times New Roman"/>
          <w:bCs/>
          <w:sz w:val="20"/>
          <w:szCs w:val="20"/>
          <w:lang w:eastAsia="zh-CN"/>
        </w:rPr>
        <w:t>ation</w:t>
      </w:r>
      <w:r w:rsidR="004A139E">
        <w:rPr>
          <w:rFonts w:ascii="Times New Roman" w:hAnsi="Times New Roman" w:cs="Times New Roman" w:hint="eastAsia"/>
          <w:bCs/>
          <w:sz w:val="20"/>
          <w:szCs w:val="20"/>
          <w:lang w:eastAsia="zh-CN"/>
        </w:rPr>
        <w:t>, our views of 6G deployment scenarios and requirements on ISAC, AI/ML, NTN, energy-efficient network are provided in our companion contribution</w:t>
      </w:r>
      <w:r>
        <w:rPr>
          <w:rFonts w:ascii="Times New Roman" w:hAnsi="Times New Roman" w:cs="Times New Roman"/>
          <w:bCs/>
          <w:sz w:val="20"/>
          <w:szCs w:val="20"/>
          <w:lang w:eastAsia="zh-CN"/>
        </w:rPr>
        <w:t>s</w:t>
      </w:r>
      <w:r w:rsidR="004A139E">
        <w:rPr>
          <w:rFonts w:ascii="Times New Roman" w:hAnsi="Times New Roman" w:cs="Times New Roman" w:hint="eastAsia"/>
          <w:bCs/>
          <w:sz w:val="20"/>
          <w:szCs w:val="20"/>
          <w:lang w:eastAsia="zh-CN"/>
        </w:rPr>
        <w:t xml:space="preserve"> [3-6].</w:t>
      </w:r>
    </w:p>
    <w:p w14:paraId="41C1E08B" w14:textId="41DF8740" w:rsidR="007C2EE2" w:rsidRDefault="004A139E">
      <w:pPr>
        <w:pStyle w:val="2"/>
        <w:snapToGrid w:val="0"/>
        <w:spacing w:before="240"/>
        <w:ind w:left="1138" w:hanging="1138"/>
        <w:rPr>
          <w:rFonts w:ascii="Times New Roman" w:hAnsi="Times New Roman"/>
          <w:b/>
          <w:sz w:val="28"/>
          <w:lang w:val="en-US" w:eastAsia="zh-CN"/>
        </w:rPr>
      </w:pPr>
      <w:r>
        <w:rPr>
          <w:rFonts w:ascii="Times New Roman" w:hAnsi="Times New Roman"/>
          <w:b/>
          <w:sz w:val="28"/>
          <w:lang w:val="en-US" w:eastAsia="zh-CN"/>
        </w:rPr>
        <w:t xml:space="preserve">2.1 </w:t>
      </w:r>
      <w:r w:rsidR="000A7C98">
        <w:rPr>
          <w:rFonts w:ascii="Times New Roman" w:hAnsi="Times New Roman"/>
          <w:b/>
          <w:sz w:val="28"/>
          <w:lang w:val="en-US" w:eastAsia="zh-CN"/>
        </w:rPr>
        <w:t>Deployment scenarios with ultra-massive MIMO</w:t>
      </w:r>
    </w:p>
    <w:p w14:paraId="45D0026C" w14:textId="37547FC3" w:rsidR="007C2EE2" w:rsidRDefault="004A139E" w:rsidP="00721974">
      <w:pPr>
        <w:snapToGrid w:val="0"/>
        <w:spacing w:before="10" w:after="10"/>
        <w:rPr>
          <w:rFonts w:ascii="Times New Roman" w:eastAsia="微软雅黑" w:hAnsi="Times New Roman" w:cs="Times New Roman"/>
          <w:sz w:val="20"/>
          <w:szCs w:val="20"/>
          <w:lang w:val="en-GB"/>
        </w:rPr>
      </w:pPr>
      <w:r>
        <w:rPr>
          <w:rFonts w:ascii="Times New Roman" w:eastAsia="Times New Roman" w:hAnsi="Times New Roman" w:cs="Times New Roman"/>
          <w:sz w:val="20"/>
          <w:szCs w:val="24"/>
          <w:lang w:eastAsia="en-US"/>
        </w:rPr>
        <w:t xml:space="preserve">To address the issue of coverage and/or higher downlink spectrum efficiency, larger antenna arrays for single </w:t>
      </w:r>
      <w:r w:rsidR="000C735E">
        <w:rPr>
          <w:rFonts w:ascii="Times New Roman" w:eastAsia="Times New Roman" w:hAnsi="Times New Roman" w:cs="Times New Roman"/>
          <w:sz w:val="20"/>
          <w:szCs w:val="24"/>
          <w:lang w:eastAsia="en-US"/>
        </w:rPr>
        <w:t>TRP</w:t>
      </w:r>
      <w:r>
        <w:rPr>
          <w:rFonts w:ascii="Times New Roman" w:eastAsia="Times New Roman" w:hAnsi="Times New Roman" w:cs="Times New Roman"/>
          <w:sz w:val="20"/>
          <w:szCs w:val="24"/>
          <w:lang w:eastAsia="en-US"/>
        </w:rPr>
        <w:t xml:space="preserve"> transmissions with an increased number of antennas, multi-TRP operation (coherent joint transmission, CJT, and non-coherent joint transmission</w:t>
      </w:r>
      <w:r>
        <w:rPr>
          <w:rFonts w:ascii="Times New Roman" w:eastAsia="Times New Roman" w:hAnsi="Times New Roman" w:cs="Times New Roman" w:hint="eastAsia"/>
          <w:sz w:val="20"/>
          <w:szCs w:val="24"/>
          <w:lang w:eastAsia="en-US"/>
        </w:rPr>
        <w:t>,</w:t>
      </w:r>
      <w:r>
        <w:rPr>
          <w:rFonts w:ascii="Times New Roman" w:eastAsia="Times New Roman" w:hAnsi="Times New Roman" w:cs="Times New Roman"/>
          <w:sz w:val="20"/>
          <w:szCs w:val="24"/>
          <w:lang w:eastAsia="en-US"/>
        </w:rPr>
        <w:t xml:space="preserve"> NCJT) and new architecture of DL-TRP and UL-TRP decoupling have an increased interest in the industry, partly due to new available frequency bands. Then, in this section, we elaborate the 6G deployment scenarios with multi-antenna schemes.</w:t>
      </w:r>
    </w:p>
    <w:p w14:paraId="57F9BF7A" w14:textId="3FB629B1" w:rsidR="007C2EE2" w:rsidRDefault="004A139E">
      <w:pPr>
        <w:snapToGrid w:val="0"/>
        <w:spacing w:before="120" w:afterLines="50" w:after="120"/>
        <w:outlineLvl w:val="2"/>
        <w:rPr>
          <w:rFonts w:ascii="Times New Roman" w:hAnsi="Times New Roman" w:cs="Times New Roman"/>
          <w:b/>
          <w:color w:val="0D0D0D"/>
          <w:szCs w:val="20"/>
        </w:rPr>
      </w:pPr>
      <w:r>
        <w:rPr>
          <w:rFonts w:ascii="Times New Roman" w:hAnsi="Times New Roman" w:cs="Times New Roman"/>
          <w:b/>
          <w:color w:val="0D0D0D"/>
          <w:szCs w:val="20"/>
        </w:rPr>
        <w:t xml:space="preserve">2.1.1 </w:t>
      </w:r>
      <w:bookmarkStart w:id="4" w:name="_Hlk199777393"/>
      <w:r w:rsidR="000A7C98">
        <w:rPr>
          <w:rFonts w:ascii="Times New Roman" w:hAnsi="Times New Roman" w:cs="Times New Roman"/>
          <w:b/>
          <w:color w:val="0D0D0D"/>
          <w:szCs w:val="20"/>
        </w:rPr>
        <w:t>Single TPR scenarios</w:t>
      </w:r>
      <w:r>
        <w:rPr>
          <w:rFonts w:ascii="Times New Roman" w:hAnsi="Times New Roman" w:cs="Times New Roman"/>
          <w:b/>
          <w:color w:val="0D0D0D"/>
          <w:szCs w:val="20"/>
        </w:rPr>
        <w:t xml:space="preserve"> </w:t>
      </w:r>
      <w:bookmarkEnd w:id="4"/>
    </w:p>
    <w:p w14:paraId="233387C9" w14:textId="4A6A3A93" w:rsidR="007C2EE2" w:rsidRDefault="004A139E" w:rsidP="00721974">
      <w:pPr>
        <w:widowControl/>
        <w:adjustRightInd w:val="0"/>
        <w:snapToGrid w:val="0"/>
        <w:spacing w:beforeLines="50" w:before="120" w:afterLines="5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While enabling U6G/around 7GHz communications, to compensate link-budget loss due to higher frequency and to maximize the spatial multiplexing/diversity gains, the significant link budget loss over 3.5GHz should be compensated by beam-forming gain </w:t>
      </w:r>
      <w:r>
        <w:rPr>
          <w:rFonts w:ascii="Times New Roman" w:eastAsia="微软雅黑" w:hAnsi="Times New Roman" w:cs="Times New Roman" w:hint="eastAsia"/>
          <w:sz w:val="20"/>
          <w:szCs w:val="20"/>
        </w:rPr>
        <w:t>with</w:t>
      </w:r>
      <w:r>
        <w:rPr>
          <w:rFonts w:ascii="Times New Roman" w:eastAsia="微软雅黑" w:hAnsi="Times New Roman" w:cs="Times New Roman"/>
          <w:sz w:val="20"/>
          <w:szCs w:val="20"/>
          <w:lang w:val="en-GB"/>
        </w:rPr>
        <w:t xml:space="preserve"> having much more antenna elements.  </w:t>
      </w:r>
    </w:p>
    <w:p w14:paraId="0AECE30B" w14:textId="77777777" w:rsidR="007C2EE2" w:rsidRDefault="004A139E" w:rsidP="00721974">
      <w:pPr>
        <w:pStyle w:val="aff3"/>
        <w:widowControl/>
        <w:numPr>
          <w:ilvl w:val="0"/>
          <w:numId w:val="10"/>
        </w:numPr>
        <w:adjustRightInd w:val="0"/>
        <w:snapToGrid w:val="0"/>
        <w:spacing w:beforeLines="50" w:before="120" w:afterLines="50" w:after="120"/>
        <w:contextualSpacing w:val="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For instance, compared with 3.5GHz, U6G has to experience an extra path loss of -5.8 dB and an extra penetration loss of -0.9 ~ -4.4 dB (depending on low/high penetration loss), i.e., a total of -6.7 ~ -10.2dB loss. Also, this issue become more severe for FR3, e.g., for 13 GHz.</w:t>
      </w:r>
    </w:p>
    <w:p w14:paraId="3CCED93D" w14:textId="77777777" w:rsidR="007C2EE2" w:rsidRDefault="004A139E" w:rsidP="00721974">
      <w:pPr>
        <w:snapToGrid w:val="0"/>
        <w:spacing w:beforeLines="50" w:before="120" w:afterLines="50" w:after="120"/>
        <w:jc w:val="center"/>
        <w:rPr>
          <w:rFonts w:ascii="Times New Roman" w:eastAsia="微软雅黑" w:hAnsi="Times New Roman" w:cs="Times New Roman"/>
          <w:sz w:val="20"/>
          <w:szCs w:val="20"/>
          <w:lang w:val="en-GB"/>
        </w:rPr>
      </w:pPr>
      <w:r>
        <w:rPr>
          <w:rFonts w:ascii="Times New Roman" w:hAnsi="Times New Roman" w:cs="Times New Roman"/>
          <w:sz w:val="20"/>
        </w:rPr>
        <w:object w:dxaOrig="6416" w:dyaOrig="4767" w14:anchorId="20C08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1.5pt;height:238.5pt" o:ole="">
            <v:imagedata r:id="rId8" o:title=""/>
          </v:shape>
          <o:OLEObject Type="Embed" ProgID="Visio.Drawing.15" ShapeID="_x0000_i1037" DrawAspect="Content" ObjectID="_1810425553" r:id="rId9"/>
        </w:object>
      </w:r>
    </w:p>
    <w:p w14:paraId="6F87FEDE" w14:textId="77777777" w:rsidR="007C2EE2" w:rsidRDefault="004A139E" w:rsidP="00721974">
      <w:pPr>
        <w:pStyle w:val="aff3"/>
        <w:snapToGrid w:val="0"/>
        <w:spacing w:beforeLines="50" w:before="120" w:afterLines="50" w:after="120"/>
        <w:ind w:left="0"/>
        <w:contextualSpacing w:val="0"/>
        <w:jc w:val="center"/>
        <w:rPr>
          <w:rFonts w:ascii="Times New Roman" w:hAnsi="Times New Roman" w:cs="Times New Roman"/>
          <w:sz w:val="20"/>
        </w:rPr>
      </w:pPr>
      <w:r>
        <w:rPr>
          <w:rFonts w:ascii="Times New Roman" w:hAnsi="Times New Roman" w:cs="Times New Roman"/>
          <w:b/>
          <w:bCs/>
          <w:sz w:val="20"/>
        </w:rPr>
        <w:t>Figure 1</w:t>
      </w:r>
      <w:r>
        <w:rPr>
          <w:rFonts w:ascii="Times New Roman" w:hAnsi="Times New Roman" w:cs="Times New Roman"/>
          <w:sz w:val="20"/>
        </w:rPr>
        <w:t xml:space="preserve"> Typical antenna array for 3.5GHz (64T192A) and U6G (128T1024A)</w:t>
      </w:r>
    </w:p>
    <w:p w14:paraId="4F496B61" w14:textId="77777777" w:rsidR="007C2EE2" w:rsidRDefault="004A139E" w:rsidP="00721974">
      <w:pPr>
        <w:widowControl/>
        <w:adjustRightInd w:val="0"/>
        <w:snapToGrid w:val="0"/>
        <w:spacing w:beforeLines="50" w:before="120" w:afterLines="5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While benefiting by shorter wave-length due to higher centric frequency, we can consider to deploy ultra-massive MIMO (e.g., 128T1024A or even more) to handle this total of -6.7 ~ - 10.2dB link-budget loss, compared with 3.5G typical 32T96A. One example for candidate antenna array for U6G is shown in the Figure 1. No doubt that the cell-edge UE throughput can be improved significantly as well. In such case, the property of near-field communications may be observed. </w:t>
      </w:r>
    </w:p>
    <w:p w14:paraId="4EA95542" w14:textId="77777777" w:rsidR="007C2EE2" w:rsidRDefault="004A139E" w:rsidP="00721974">
      <w:pPr>
        <w:pStyle w:val="aff3"/>
        <w:widowControl/>
        <w:numPr>
          <w:ilvl w:val="0"/>
          <w:numId w:val="10"/>
        </w:numPr>
        <w:adjustRightInd w:val="0"/>
        <w:snapToGrid w:val="0"/>
        <w:spacing w:beforeLines="50" w:before="120" w:afterLines="50" w:after="120"/>
        <w:contextualSpacing w:val="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Through comprehensive SLS evaluation, as shown in Figure 2, it can be observed that: if still using the same antenna arrays as 3.5GHz, there is a dominant performance loss (-40.25% and -71.70% loss for average and cell-edge cases, respectively); then, ultra-massive MIMO (e.g., 128T1024R) can bring significant gains and outperform the typical 3.5GHz. It should be noticed that there is still an extra performance gains if further extending ultra-massive MIMO to 256T1024R or 512T2048R. Note that, in such case, DL 4-RX UE as legacy is considered. </w:t>
      </w:r>
    </w:p>
    <w:p w14:paraId="5138A9D4" w14:textId="77777777" w:rsidR="007C2EE2" w:rsidRDefault="004A139E" w:rsidP="00721974">
      <w:pPr>
        <w:snapToGrid w:val="0"/>
        <w:spacing w:beforeLines="50" w:before="120" w:afterLines="50" w:after="120"/>
        <w:jc w:val="center"/>
        <w:rPr>
          <w:rFonts w:ascii="Times New Roman" w:eastAsia="微软雅黑" w:hAnsi="Times New Roman" w:cs="Times New Roman"/>
          <w:szCs w:val="20"/>
          <w:lang w:val="en-GB"/>
        </w:rPr>
      </w:pPr>
      <w:r>
        <w:rPr>
          <w:rFonts w:ascii="Times New Roman" w:eastAsia="微软雅黑" w:hAnsi="Times New Roman" w:cs="Times New Roman"/>
          <w:noProof/>
          <w:szCs w:val="20"/>
          <w:lang w:val="en-GB"/>
        </w:rPr>
        <w:drawing>
          <wp:inline distT="0" distB="0" distL="0" distR="0" wp14:anchorId="50279289" wp14:editId="192D6C96">
            <wp:extent cx="3992880" cy="2334895"/>
            <wp:effectExtent l="0" t="0" r="762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4013540" cy="2346806"/>
                    </a:xfrm>
                    <a:prstGeom prst="rect">
                      <a:avLst/>
                    </a:prstGeom>
                  </pic:spPr>
                </pic:pic>
              </a:graphicData>
            </a:graphic>
          </wp:inline>
        </w:drawing>
      </w:r>
    </w:p>
    <w:p w14:paraId="05D81697" w14:textId="77777777" w:rsidR="007C2EE2" w:rsidRDefault="004A139E" w:rsidP="00046C91">
      <w:pPr>
        <w:pStyle w:val="aff3"/>
        <w:snapToGrid w:val="0"/>
        <w:spacing w:beforeLines="50" w:before="120" w:afterLines="50" w:after="120"/>
        <w:contextualSpacing w:val="0"/>
        <w:jc w:val="center"/>
        <w:rPr>
          <w:rFonts w:ascii="Times New Roman" w:hAnsi="Times New Roman" w:cs="Times New Roman"/>
          <w:sz w:val="20"/>
        </w:rPr>
      </w:pPr>
      <w:r>
        <w:rPr>
          <w:rFonts w:ascii="Times New Roman" w:hAnsi="Times New Roman" w:cs="Times New Roman"/>
          <w:b/>
          <w:bCs/>
          <w:sz w:val="20"/>
        </w:rPr>
        <w:t>Figure 2</w:t>
      </w:r>
      <w:r>
        <w:rPr>
          <w:rFonts w:ascii="Times New Roman" w:hAnsi="Times New Roman" w:cs="Times New Roman"/>
          <w:sz w:val="20"/>
        </w:rPr>
        <w:t xml:space="preserve"> Evaluation results for enabling ultra-massive MIMO for U6G (i.e., </w:t>
      </w:r>
      <w:r>
        <w:rPr>
          <w:rFonts w:ascii="Times New Roman" w:hAnsi="Times New Roman" w:cs="Times New Roman"/>
          <w:i/>
          <w:sz w:val="20"/>
        </w:rPr>
        <w:t xml:space="preserve">f </w:t>
      </w:r>
      <w:r>
        <w:rPr>
          <w:rFonts w:ascii="Times New Roman" w:hAnsi="Times New Roman" w:cs="Times New Roman"/>
          <w:sz w:val="20"/>
        </w:rPr>
        <w:t>= 7GHz)</w:t>
      </w:r>
    </w:p>
    <w:p w14:paraId="4DE759E6" w14:textId="6855F9FC" w:rsidR="007C2EE2" w:rsidRDefault="004A139E" w:rsidP="00721974">
      <w:pPr>
        <w:pStyle w:val="aff3"/>
        <w:widowControl/>
        <w:numPr>
          <w:ilvl w:val="0"/>
          <w:numId w:val="10"/>
        </w:numPr>
        <w:adjustRightInd w:val="0"/>
        <w:snapToGrid w:val="0"/>
        <w:spacing w:beforeLines="50" w:before="120" w:afterLines="50" w:after="120"/>
        <w:contextualSpacing w:val="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Then, with the increase of frequency band, deploying more DL Rx antennas in the hand-held terminal becomes possible as another critical enhancement. While taking DL 8-RX antenna into account, as shown in Figure </w:t>
      </w:r>
      <w:r>
        <w:rPr>
          <w:rFonts w:ascii="Times New Roman" w:eastAsia="微软雅黑" w:hAnsi="Times New Roman" w:cs="Times New Roman" w:hint="eastAsia"/>
          <w:sz w:val="20"/>
          <w:szCs w:val="20"/>
          <w:lang w:eastAsia="zh-CN"/>
        </w:rPr>
        <w:t>3</w:t>
      </w:r>
      <w:r>
        <w:rPr>
          <w:rFonts w:ascii="Times New Roman" w:eastAsia="微软雅黑" w:hAnsi="Times New Roman" w:cs="Times New Roman"/>
          <w:sz w:val="20"/>
          <w:szCs w:val="20"/>
          <w:lang w:val="en-GB"/>
        </w:rPr>
        <w:t>, it can be observed that the increase of DL RX from 4Rx to 8Rx bring significantly additional gain in terms of both average and cell-edge UPT. While observing the NW deployment from 32T96A to 256T1024A, we can observe that there are 60%~80% average UPT gain and up to 300% cell-edge gain.</w:t>
      </w:r>
      <w:r w:rsidR="00046C91">
        <w:rPr>
          <w:rFonts w:ascii="Times New Roman" w:eastAsia="微软雅黑" w:hAnsi="Times New Roman" w:cs="Times New Roman"/>
          <w:sz w:val="20"/>
          <w:szCs w:val="20"/>
          <w:lang w:val="en-GB"/>
        </w:rPr>
        <w:t xml:space="preserve"> Furthermore, if having some more Tx/Rx in UE sides, like 16T/16R, some more performance gain can be observed.</w:t>
      </w:r>
      <w:r>
        <w:rPr>
          <w:rFonts w:ascii="Times New Roman" w:eastAsia="微软雅黑" w:hAnsi="Times New Roman" w:cs="Times New Roman"/>
          <w:sz w:val="20"/>
          <w:szCs w:val="20"/>
          <w:lang w:val="en-GB"/>
        </w:rPr>
        <w:t xml:space="preserve"> </w:t>
      </w:r>
    </w:p>
    <w:p w14:paraId="3F70AB7D" w14:textId="77777777" w:rsidR="007C2EE2" w:rsidRDefault="004A139E" w:rsidP="00721974">
      <w:pPr>
        <w:snapToGrid w:val="0"/>
        <w:spacing w:beforeLines="50" w:before="120" w:afterLines="50" w:after="120"/>
        <w:rPr>
          <w:rFonts w:ascii="Times New Roman" w:hAnsi="Times New Roman" w:cs="Times New Roman"/>
        </w:rPr>
      </w:pPr>
      <w:r>
        <w:rPr>
          <w:rFonts w:ascii="Times New Roman" w:hAnsi="Times New Roman" w:cs="Times New Roman"/>
        </w:rPr>
        <w:lastRenderedPageBreak/>
        <w:t xml:space="preserve">  </w:t>
      </w:r>
      <w:r>
        <w:rPr>
          <w:rFonts w:ascii="Times New Roman" w:hAnsi="Times New Roman" w:cs="Times New Roman"/>
          <w:noProof/>
        </w:rPr>
        <w:drawing>
          <wp:inline distT="0" distB="0" distL="0" distR="0" wp14:anchorId="7EAB6FA9" wp14:editId="11E796F1">
            <wp:extent cx="2902585" cy="23031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2942246" cy="2334814"/>
                    </a:xfrm>
                    <a:prstGeom prst="rect">
                      <a:avLst/>
                    </a:prstGeom>
                  </pic:spPr>
                </pic:pic>
              </a:graphicData>
            </a:graphic>
          </wp:inline>
        </w:drawing>
      </w:r>
      <w:r>
        <w:rPr>
          <w:rFonts w:ascii="Times New Roman" w:hAnsi="Times New Roman" w:cs="Times New Roman"/>
        </w:rPr>
        <w:t xml:space="preserve">  </w:t>
      </w:r>
      <w:r>
        <w:rPr>
          <w:rFonts w:ascii="Times New Roman" w:hAnsi="Times New Roman" w:cs="Times New Roman"/>
          <w:noProof/>
        </w:rPr>
        <w:drawing>
          <wp:inline distT="0" distB="0" distL="0" distR="0" wp14:anchorId="7C96486E" wp14:editId="2C659C99">
            <wp:extent cx="2849245" cy="229235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2"/>
                    <a:stretch>
                      <a:fillRect/>
                    </a:stretch>
                  </pic:blipFill>
                  <pic:spPr>
                    <a:xfrm>
                      <a:off x="0" y="0"/>
                      <a:ext cx="2875938" cy="2313416"/>
                    </a:xfrm>
                    <a:prstGeom prst="rect">
                      <a:avLst/>
                    </a:prstGeom>
                  </pic:spPr>
                </pic:pic>
              </a:graphicData>
            </a:graphic>
          </wp:inline>
        </w:drawing>
      </w:r>
    </w:p>
    <w:p w14:paraId="606FB991" w14:textId="4564178E" w:rsidR="007C2EE2" w:rsidRDefault="004A139E" w:rsidP="000C735E">
      <w:pPr>
        <w:pStyle w:val="aff3"/>
        <w:snapToGrid w:val="0"/>
        <w:spacing w:beforeLines="50" w:before="120" w:afterLines="50" w:after="120"/>
        <w:contextualSpacing w:val="0"/>
        <w:jc w:val="center"/>
        <w:rPr>
          <w:rFonts w:ascii="Times New Roman" w:hAnsi="Times New Roman" w:cs="Times New Roman"/>
          <w:sz w:val="20"/>
        </w:rPr>
      </w:pPr>
      <w:r>
        <w:rPr>
          <w:rFonts w:ascii="Times New Roman" w:hAnsi="Times New Roman" w:cs="Times New Roman"/>
          <w:b/>
          <w:bCs/>
          <w:sz w:val="20"/>
        </w:rPr>
        <w:t xml:space="preserve">Figure </w:t>
      </w:r>
      <w:r>
        <w:rPr>
          <w:rFonts w:ascii="Times New Roman" w:hAnsi="Times New Roman" w:cs="Times New Roman" w:hint="eastAsia"/>
          <w:b/>
          <w:bCs/>
          <w:sz w:val="20"/>
          <w:lang w:eastAsia="zh-CN"/>
        </w:rPr>
        <w:t>3</w:t>
      </w:r>
      <w:r>
        <w:rPr>
          <w:rFonts w:ascii="Times New Roman" w:hAnsi="Times New Roman" w:cs="Times New Roman"/>
          <w:sz w:val="20"/>
        </w:rPr>
        <w:t xml:space="preserve"> Evaluation results for additional gain via introducing DL 8-RX UE over legacy 4-RX MIMO for U6G (i.e., </w:t>
      </w:r>
      <w:r>
        <w:rPr>
          <w:rFonts w:ascii="Times New Roman" w:hAnsi="Times New Roman" w:cs="Times New Roman"/>
          <w:i/>
          <w:sz w:val="20"/>
        </w:rPr>
        <w:t xml:space="preserve">f </w:t>
      </w:r>
      <w:r>
        <w:rPr>
          <w:rFonts w:ascii="Times New Roman" w:hAnsi="Times New Roman" w:cs="Times New Roman"/>
          <w:sz w:val="20"/>
        </w:rPr>
        <w:t xml:space="preserve">= 7GHz). Left: Average UPT, Right: Cell-edge UPT </w:t>
      </w:r>
    </w:p>
    <w:p w14:paraId="392EE3BE" w14:textId="12D19E10" w:rsidR="007C2EE2" w:rsidRDefault="004A139E" w:rsidP="00721974">
      <w:pPr>
        <w:widowControl/>
        <w:adjustRightInd w:val="0"/>
        <w:snapToGrid w:val="0"/>
        <w:spacing w:beforeLines="50" w:before="120" w:afterLines="5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Finally, </w:t>
      </w:r>
      <w:r>
        <w:rPr>
          <w:rFonts w:ascii="Times New Roman" w:eastAsia="微软雅黑" w:hAnsi="Times New Roman" w:cs="Times New Roman" w:hint="eastAsia"/>
          <w:sz w:val="20"/>
          <w:szCs w:val="20"/>
          <w:lang w:val="en-GB"/>
        </w:rPr>
        <w:t>simi</w:t>
      </w:r>
      <w:r>
        <w:rPr>
          <w:rFonts w:ascii="Times New Roman" w:eastAsia="微软雅黑" w:hAnsi="Times New Roman" w:cs="Times New Roman"/>
          <w:sz w:val="20"/>
          <w:szCs w:val="20"/>
          <w:lang w:val="en-GB"/>
        </w:rPr>
        <w:t xml:space="preserve">lar to DL transmission, we have the similar observation for UL transmission/coverage enhancement upon the support of ultra-massive MIMO. The SLS results can be found in the Figure </w:t>
      </w:r>
      <w:r>
        <w:rPr>
          <w:rFonts w:ascii="Times New Roman" w:eastAsia="微软雅黑" w:hAnsi="Times New Roman" w:cs="Times New Roman" w:hint="eastAsia"/>
          <w:sz w:val="20"/>
          <w:szCs w:val="20"/>
        </w:rPr>
        <w:t>4</w:t>
      </w:r>
      <w:r>
        <w:rPr>
          <w:rFonts w:ascii="Times New Roman" w:eastAsia="微软雅黑" w:hAnsi="Times New Roman" w:cs="Times New Roman"/>
          <w:sz w:val="20"/>
          <w:szCs w:val="20"/>
          <w:lang w:val="en-GB"/>
        </w:rPr>
        <w:t xml:space="preserve">. It can be observed that, for increase of the number of Tx in a UE, UL coherent transmission and corresponding high-resolution UL codebook become critical for boosting up UL transmission, especially for cell-edge UE (50~100% UPT gain). That means that, compared with 5G, UL coherent transmission should be mandatorily supported by </w:t>
      </w:r>
      <w:r>
        <w:rPr>
          <w:rFonts w:ascii="Times New Roman" w:eastAsia="微软雅黑" w:hAnsi="Times New Roman" w:cs="Times New Roman" w:hint="eastAsia"/>
          <w:sz w:val="20"/>
          <w:szCs w:val="20"/>
        </w:rPr>
        <w:t>6G.</w:t>
      </w:r>
      <w:r>
        <w:rPr>
          <w:rFonts w:ascii="Times New Roman" w:eastAsia="微软雅黑" w:hAnsi="Times New Roman" w:cs="Times New Roman"/>
          <w:sz w:val="20"/>
          <w:szCs w:val="20"/>
          <w:lang w:val="en-GB"/>
        </w:rPr>
        <w:t xml:space="preserve">  </w:t>
      </w:r>
    </w:p>
    <w:p w14:paraId="56E3B15C" w14:textId="77777777" w:rsidR="007C2EE2" w:rsidRDefault="007C2EE2" w:rsidP="00721974">
      <w:pPr>
        <w:widowControl/>
        <w:adjustRightInd w:val="0"/>
        <w:snapToGrid w:val="0"/>
        <w:spacing w:beforeLines="50" w:before="120" w:afterLines="50" w:after="120"/>
        <w:rPr>
          <w:rFonts w:ascii="Times New Roman" w:hAnsi="Times New Roman" w:cs="Times New Roman"/>
          <w:color w:val="FF0000"/>
        </w:rPr>
      </w:pPr>
    </w:p>
    <w:p w14:paraId="7817FF3E" w14:textId="77777777" w:rsidR="007C2EE2" w:rsidRDefault="004A139E" w:rsidP="00721974">
      <w:pPr>
        <w:snapToGrid w:val="0"/>
        <w:spacing w:beforeLines="50" w:before="120" w:afterLines="50" w:after="120"/>
        <w:jc w:val="center"/>
        <w:rPr>
          <w:rFonts w:ascii="Times New Roman" w:hAnsi="Times New Roman" w:cs="Times New Roman"/>
        </w:rPr>
      </w:pPr>
      <w:r>
        <w:rPr>
          <w:rFonts w:ascii="Times New Roman" w:hAnsi="Times New Roman" w:cs="Times New Roman"/>
          <w:noProof/>
        </w:rPr>
        <w:drawing>
          <wp:inline distT="0" distB="0" distL="0" distR="0" wp14:anchorId="51355E24" wp14:editId="07696CA3">
            <wp:extent cx="2736850" cy="1521460"/>
            <wp:effectExtent l="0" t="0" r="6350" b="2540"/>
            <wp:docPr id="44" name="图片 8" descr="avgUPT0108"/>
            <wp:cNvGraphicFramePr/>
            <a:graphic xmlns:a="http://schemas.openxmlformats.org/drawingml/2006/main">
              <a:graphicData uri="http://schemas.openxmlformats.org/drawingml/2006/picture">
                <pic:pic xmlns:pic="http://schemas.openxmlformats.org/drawingml/2006/picture">
                  <pic:nvPicPr>
                    <pic:cNvPr id="44" name="图片 8" descr="avgUPT0108"/>
                    <pic:cNvPicPr/>
                  </pic:nvPicPr>
                  <pic:blipFill>
                    <a:blip r:embed="rId13"/>
                    <a:stretch>
                      <a:fillRect/>
                    </a:stretch>
                  </pic:blipFill>
                  <pic:spPr>
                    <a:xfrm>
                      <a:off x="0" y="0"/>
                      <a:ext cx="2766565" cy="1538281"/>
                    </a:xfrm>
                    <a:prstGeom prst="rect">
                      <a:avLst/>
                    </a:prstGeom>
                  </pic:spPr>
                </pic:pic>
              </a:graphicData>
            </a:graphic>
          </wp:inline>
        </w:drawing>
      </w:r>
      <w:r>
        <w:rPr>
          <w:rFonts w:ascii="Times New Roman" w:hAnsi="Times New Roman" w:cs="Times New Roman"/>
        </w:rPr>
        <w:t xml:space="preserve">   </w:t>
      </w:r>
      <w:r>
        <w:rPr>
          <w:rFonts w:ascii="Times New Roman" w:hAnsi="Times New Roman" w:cs="Times New Roman"/>
          <w:noProof/>
        </w:rPr>
        <w:drawing>
          <wp:inline distT="0" distB="0" distL="0" distR="0" wp14:anchorId="72796FB8" wp14:editId="37BFE320">
            <wp:extent cx="2962910" cy="1521460"/>
            <wp:effectExtent l="0" t="0" r="8890" b="2540"/>
            <wp:docPr id="43" name="图片 12" descr="edgeUPT0108"/>
            <wp:cNvGraphicFramePr/>
            <a:graphic xmlns:a="http://schemas.openxmlformats.org/drawingml/2006/main">
              <a:graphicData uri="http://schemas.openxmlformats.org/drawingml/2006/picture">
                <pic:pic xmlns:pic="http://schemas.openxmlformats.org/drawingml/2006/picture">
                  <pic:nvPicPr>
                    <pic:cNvPr id="43" name="图片 12" descr="edgeUPT0108"/>
                    <pic:cNvPicPr/>
                  </pic:nvPicPr>
                  <pic:blipFill>
                    <a:blip r:embed="rId14"/>
                    <a:stretch>
                      <a:fillRect/>
                    </a:stretch>
                  </pic:blipFill>
                  <pic:spPr>
                    <a:xfrm>
                      <a:off x="0" y="0"/>
                      <a:ext cx="2996208" cy="1538483"/>
                    </a:xfrm>
                    <a:prstGeom prst="rect">
                      <a:avLst/>
                    </a:prstGeom>
                  </pic:spPr>
                </pic:pic>
              </a:graphicData>
            </a:graphic>
          </wp:inline>
        </w:drawing>
      </w:r>
    </w:p>
    <w:p w14:paraId="4BA7F225" w14:textId="0EA98D87" w:rsidR="007C2EE2" w:rsidRDefault="004A139E" w:rsidP="000C735E">
      <w:pPr>
        <w:pStyle w:val="aff3"/>
        <w:snapToGrid w:val="0"/>
        <w:spacing w:beforeLines="50" w:before="120" w:afterLines="50" w:after="120"/>
        <w:ind w:left="0"/>
        <w:contextualSpacing w:val="0"/>
        <w:jc w:val="center"/>
        <w:rPr>
          <w:rFonts w:ascii="Times New Roman" w:hAnsi="Times New Roman" w:cs="Times New Roman"/>
          <w:sz w:val="20"/>
        </w:rPr>
      </w:pPr>
      <w:r>
        <w:rPr>
          <w:rFonts w:ascii="Times New Roman" w:hAnsi="Times New Roman" w:cs="Times New Roman"/>
          <w:b/>
          <w:sz w:val="20"/>
        </w:rPr>
        <w:t xml:space="preserve">Figure </w:t>
      </w:r>
      <w:r>
        <w:rPr>
          <w:rFonts w:ascii="Times New Roman" w:hAnsi="Times New Roman" w:cs="Times New Roman" w:hint="eastAsia"/>
          <w:b/>
          <w:sz w:val="20"/>
          <w:lang w:eastAsia="zh-CN"/>
        </w:rPr>
        <w:t>4</w:t>
      </w:r>
      <w:r>
        <w:rPr>
          <w:rFonts w:ascii="Times New Roman" w:hAnsi="Times New Roman" w:cs="Times New Roman"/>
          <w:sz w:val="20"/>
        </w:rPr>
        <w:t xml:space="preserve"> Evaluation results for additional gain via introducing ultra-massive MIMO for U6G while considering different UE device types (noncoherent/coherent Tx) (i.e., </w:t>
      </w:r>
      <w:r>
        <w:rPr>
          <w:rFonts w:ascii="Times New Roman" w:hAnsi="Times New Roman" w:cs="Times New Roman"/>
          <w:i/>
          <w:sz w:val="20"/>
        </w:rPr>
        <w:t>f</w:t>
      </w:r>
      <w:r>
        <w:rPr>
          <w:rFonts w:ascii="Times New Roman" w:hAnsi="Times New Roman" w:cs="Times New Roman"/>
          <w:sz w:val="20"/>
        </w:rPr>
        <w:t xml:space="preserve"> = 7GHz). Left: Average UPT, Right: Cell-edge UPT </w:t>
      </w:r>
    </w:p>
    <w:p w14:paraId="050162C4" w14:textId="660F71F0" w:rsidR="007C2EE2" w:rsidRDefault="003C15B8" w:rsidP="00721974">
      <w:pPr>
        <w:pStyle w:val="aff3"/>
        <w:snapToGrid w:val="0"/>
        <w:spacing w:beforeLines="50" w:before="120" w:afterLines="50" w:after="120"/>
        <w:ind w:left="0"/>
        <w:contextualSpacing w:val="0"/>
        <w:rPr>
          <w:rFonts w:ascii="Times New Roman" w:hAnsi="Times New Roman" w:cs="Times New Roman"/>
          <w:sz w:val="20"/>
          <w:lang w:eastAsia="zh-CN"/>
        </w:rPr>
      </w:pPr>
      <w:r>
        <w:rPr>
          <w:rFonts w:ascii="Times New Roman" w:hAnsi="Times New Roman" w:cs="Times New Roman"/>
          <w:sz w:val="20"/>
          <w:lang w:eastAsia="zh-CN"/>
        </w:rPr>
        <w:t>Based on the above evaluation</w:t>
      </w:r>
      <w:r w:rsidR="00416C54">
        <w:rPr>
          <w:rFonts w:ascii="Times New Roman" w:hAnsi="Times New Roman" w:cs="Times New Roman"/>
          <w:sz w:val="20"/>
          <w:lang w:eastAsia="zh-CN"/>
        </w:rPr>
        <w:t xml:space="preserve">, we should introduce the </w:t>
      </w:r>
      <w:r>
        <w:rPr>
          <w:rFonts w:ascii="Times New Roman" w:hAnsi="Times New Roman" w:cs="Times New Roman"/>
          <w:sz w:val="20"/>
          <w:lang w:eastAsia="zh-CN"/>
        </w:rPr>
        <w:t xml:space="preserve">cases of </w:t>
      </w:r>
      <w:r w:rsidR="00416C54">
        <w:rPr>
          <w:rFonts w:ascii="Times New Roman" w:hAnsi="Times New Roman" w:cs="Times New Roman"/>
          <w:sz w:val="20"/>
          <w:lang w:eastAsia="zh-CN"/>
        </w:rPr>
        <w:t>gNB/UE antenna element</w:t>
      </w:r>
      <w:r>
        <w:rPr>
          <w:rFonts w:ascii="Times New Roman" w:hAnsi="Times New Roman" w:cs="Times New Roman"/>
          <w:sz w:val="20"/>
          <w:lang w:eastAsia="zh-CN"/>
        </w:rPr>
        <w:t xml:space="preserve"> </w:t>
      </w:r>
      <w:r w:rsidR="00416C54">
        <w:rPr>
          <w:rFonts w:ascii="Times New Roman" w:hAnsi="Times New Roman" w:cs="Times New Roman"/>
          <w:sz w:val="20"/>
          <w:lang w:eastAsia="zh-CN"/>
        </w:rPr>
        <w:t>of around 7GHz under the</w:t>
      </w:r>
      <w:r>
        <w:rPr>
          <w:rFonts w:ascii="Times New Roman" w:hAnsi="Times New Roman" w:cs="Times New Roman"/>
          <w:sz w:val="20"/>
          <w:lang w:eastAsia="zh-CN"/>
        </w:rPr>
        <w:t xml:space="preserve"> at least</w:t>
      </w:r>
      <w:r w:rsidR="00416C54">
        <w:rPr>
          <w:rFonts w:ascii="Times New Roman" w:hAnsi="Times New Roman" w:cs="Times New Roman"/>
          <w:sz w:val="20"/>
          <w:lang w:eastAsia="zh-CN"/>
        </w:rPr>
        <w:t xml:space="preserve"> following d</w:t>
      </w:r>
      <w:r w:rsidR="00416C54" w:rsidRPr="00416C54">
        <w:rPr>
          <w:rFonts w:ascii="Times New Roman" w:hAnsi="Times New Roman" w:cs="Times New Roman"/>
          <w:sz w:val="20"/>
          <w:lang w:eastAsia="zh-CN"/>
        </w:rPr>
        <w:t>eployment scenarios</w:t>
      </w:r>
      <w:r w:rsidR="00416C54">
        <w:rPr>
          <w:rFonts w:ascii="Times New Roman" w:hAnsi="Times New Roman" w:cs="Times New Roman"/>
          <w:sz w:val="20"/>
          <w:lang w:eastAsia="zh-CN"/>
        </w:rPr>
        <w:t xml:space="preserve"> as mentioned in TR 38.913, l</w:t>
      </w:r>
      <w:r w:rsidR="00416C54" w:rsidRPr="00416C54">
        <w:rPr>
          <w:rFonts w:ascii="Times New Roman" w:hAnsi="Times New Roman" w:cs="Times New Roman"/>
          <w:sz w:val="20"/>
          <w:lang w:eastAsia="zh-CN"/>
        </w:rPr>
        <w:t>arge antenna array with more than 1024 NW antenna elements should be considered, e.g. 1536 or 2048 antenna elements</w:t>
      </w:r>
      <w:r w:rsidR="00416C54">
        <w:rPr>
          <w:rFonts w:ascii="Times New Roman" w:hAnsi="Times New Roman" w:cs="Times New Roman"/>
          <w:sz w:val="20"/>
          <w:lang w:eastAsia="zh-CN"/>
        </w:rPr>
        <w:t>, should be supported</w:t>
      </w:r>
      <w:r w:rsidR="00416C54" w:rsidRPr="00416C54">
        <w:rPr>
          <w:rFonts w:ascii="Times New Roman" w:hAnsi="Times New Roman" w:cs="Times New Roman"/>
          <w:sz w:val="20"/>
          <w:lang w:eastAsia="zh-CN"/>
        </w:rPr>
        <w:t>.</w:t>
      </w:r>
    </w:p>
    <w:p w14:paraId="2620B16F" w14:textId="77777777" w:rsidR="00416C54" w:rsidRPr="00416C54" w:rsidRDefault="00416C54" w:rsidP="00416C54">
      <w:pPr>
        <w:pStyle w:val="aff3"/>
        <w:widowControl/>
        <w:numPr>
          <w:ilvl w:val="0"/>
          <w:numId w:val="10"/>
        </w:numPr>
        <w:adjustRightInd w:val="0"/>
        <w:snapToGrid w:val="0"/>
        <w:spacing w:beforeLines="50" w:before="120" w:afterLines="50" w:after="120"/>
        <w:rPr>
          <w:rFonts w:ascii="Times New Roman" w:hAnsi="Times New Roman" w:cs="Times New Roman"/>
          <w:sz w:val="20"/>
        </w:rPr>
      </w:pPr>
      <w:r w:rsidRPr="00416C54">
        <w:rPr>
          <w:rFonts w:ascii="Times New Roman" w:hAnsi="Times New Roman" w:cs="Times New Roman"/>
          <w:sz w:val="20"/>
        </w:rPr>
        <w:t>Indoor hotspot</w:t>
      </w:r>
    </w:p>
    <w:p w14:paraId="4F43ACEA" w14:textId="77777777" w:rsidR="00416C54" w:rsidRPr="00416C54" w:rsidRDefault="00416C54" w:rsidP="00416C54">
      <w:pPr>
        <w:pStyle w:val="aff3"/>
        <w:widowControl/>
        <w:numPr>
          <w:ilvl w:val="0"/>
          <w:numId w:val="10"/>
        </w:numPr>
        <w:adjustRightInd w:val="0"/>
        <w:snapToGrid w:val="0"/>
        <w:spacing w:beforeLines="50" w:before="120" w:afterLines="50" w:after="120"/>
        <w:rPr>
          <w:rFonts w:ascii="Times New Roman" w:hAnsi="Times New Roman" w:cs="Times New Roman"/>
          <w:sz w:val="20"/>
        </w:rPr>
      </w:pPr>
      <w:r w:rsidRPr="00416C54">
        <w:rPr>
          <w:rFonts w:ascii="Times New Roman" w:hAnsi="Times New Roman" w:cs="Times New Roman"/>
          <w:sz w:val="20"/>
        </w:rPr>
        <w:t>Dense urban</w:t>
      </w:r>
    </w:p>
    <w:p w14:paraId="724D72AF" w14:textId="77777777" w:rsidR="00416C54" w:rsidRPr="00416C54" w:rsidRDefault="00416C54" w:rsidP="00416C54">
      <w:pPr>
        <w:pStyle w:val="aff3"/>
        <w:widowControl/>
        <w:numPr>
          <w:ilvl w:val="0"/>
          <w:numId w:val="10"/>
        </w:numPr>
        <w:adjustRightInd w:val="0"/>
        <w:snapToGrid w:val="0"/>
        <w:spacing w:beforeLines="50" w:before="120" w:afterLines="50" w:after="120"/>
        <w:rPr>
          <w:rFonts w:ascii="Times New Roman" w:hAnsi="Times New Roman" w:cs="Times New Roman"/>
          <w:sz w:val="20"/>
        </w:rPr>
      </w:pPr>
      <w:r w:rsidRPr="00416C54">
        <w:rPr>
          <w:rFonts w:ascii="Times New Roman" w:hAnsi="Times New Roman" w:cs="Times New Roman"/>
          <w:sz w:val="20"/>
        </w:rPr>
        <w:t>Rural</w:t>
      </w:r>
    </w:p>
    <w:p w14:paraId="4CCB8129" w14:textId="77777777" w:rsidR="00416C54" w:rsidRDefault="00416C54" w:rsidP="003C15B8">
      <w:pPr>
        <w:pStyle w:val="aff3"/>
        <w:widowControl/>
        <w:numPr>
          <w:ilvl w:val="0"/>
          <w:numId w:val="10"/>
        </w:numPr>
        <w:adjustRightInd w:val="0"/>
        <w:snapToGrid w:val="0"/>
        <w:spacing w:beforeLines="50" w:before="120" w:afterLines="50" w:after="120"/>
        <w:contextualSpacing w:val="0"/>
        <w:rPr>
          <w:rFonts w:ascii="Times New Roman" w:hAnsi="Times New Roman" w:cs="Times New Roman"/>
          <w:sz w:val="20"/>
        </w:rPr>
      </w:pPr>
      <w:r w:rsidRPr="00416C54">
        <w:rPr>
          <w:rFonts w:ascii="Times New Roman" w:hAnsi="Times New Roman" w:cs="Times New Roman"/>
          <w:sz w:val="20"/>
        </w:rPr>
        <w:t>Urban Macro</w:t>
      </w:r>
    </w:p>
    <w:p w14:paraId="041ED81E" w14:textId="4D9D2B59" w:rsidR="003C15B8" w:rsidRDefault="003C15B8" w:rsidP="003C15B8">
      <w:p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1</w:t>
      </w:r>
      <w:r>
        <w:rPr>
          <w:rFonts w:ascii="Times New Roman" w:hAnsi="Times New Roman" w:cs="Times New Roman"/>
          <w:b/>
          <w:i/>
          <w:sz w:val="20"/>
          <w:szCs w:val="20"/>
        </w:rPr>
        <w:t xml:space="preserve">: </w:t>
      </w:r>
      <w:r>
        <w:rPr>
          <w:rFonts w:ascii="Times New Roman" w:hAnsi="Times New Roman" w:cs="Times New Roman"/>
          <w:i/>
          <w:sz w:val="20"/>
          <w:szCs w:val="20"/>
        </w:rPr>
        <w:t xml:space="preserve">To ensure overall coverage, focus on cell-edge performance and UL coverage (especially for co-site deployment of around 7GHz), large antenna array with more than 1024 </w:t>
      </w:r>
      <w:r w:rsidR="00816BE1">
        <w:rPr>
          <w:rFonts w:ascii="Times New Roman" w:hAnsi="Times New Roman" w:cs="Times New Roman"/>
          <w:i/>
          <w:sz w:val="20"/>
          <w:szCs w:val="20"/>
        </w:rPr>
        <w:t>BS</w:t>
      </w:r>
      <w:r w:rsidR="00816BE1">
        <w:rPr>
          <w:rFonts w:ascii="Times New Roman" w:hAnsi="Times New Roman" w:cs="Times New Roman"/>
          <w:i/>
          <w:sz w:val="20"/>
          <w:szCs w:val="20"/>
        </w:rPr>
        <w:t xml:space="preserve"> </w:t>
      </w:r>
      <w:r>
        <w:rPr>
          <w:rFonts w:ascii="Times New Roman" w:hAnsi="Times New Roman" w:cs="Times New Roman"/>
          <w:i/>
          <w:sz w:val="20"/>
          <w:szCs w:val="20"/>
        </w:rPr>
        <w:t xml:space="preserve">antenna elements (e.g. </w:t>
      </w:r>
      <w:r w:rsidR="00473CEF">
        <w:rPr>
          <w:rFonts w:ascii="Times New Roman" w:hAnsi="Times New Roman" w:cs="Times New Roman"/>
          <w:i/>
          <w:sz w:val="20"/>
          <w:szCs w:val="20"/>
        </w:rPr>
        <w:t xml:space="preserve">up to </w:t>
      </w:r>
      <w:r>
        <w:rPr>
          <w:rFonts w:ascii="Times New Roman" w:hAnsi="Times New Roman" w:cs="Times New Roman"/>
          <w:i/>
          <w:sz w:val="20"/>
          <w:szCs w:val="20"/>
        </w:rPr>
        <w:t xml:space="preserve">1536 or 2048 antenna elements) and 8 or more </w:t>
      </w:r>
      <w:r w:rsidRPr="003C15B8">
        <w:rPr>
          <w:rFonts w:ascii="Times New Roman" w:hAnsi="Times New Roman" w:cs="Times New Roman"/>
          <w:i/>
          <w:sz w:val="20"/>
          <w:szCs w:val="20"/>
        </w:rPr>
        <w:t xml:space="preserve">Tx and Rx </w:t>
      </w:r>
      <w:r w:rsidR="00816BE1">
        <w:rPr>
          <w:rFonts w:ascii="Times New Roman" w:hAnsi="Times New Roman" w:cs="Times New Roman"/>
          <w:i/>
          <w:sz w:val="20"/>
          <w:szCs w:val="20"/>
        </w:rPr>
        <w:t xml:space="preserve">UE </w:t>
      </w:r>
      <w:r w:rsidRPr="003C15B8">
        <w:rPr>
          <w:rFonts w:ascii="Times New Roman" w:hAnsi="Times New Roman" w:cs="Times New Roman"/>
          <w:i/>
          <w:sz w:val="20"/>
          <w:szCs w:val="20"/>
        </w:rPr>
        <w:t>antenna elements</w:t>
      </w:r>
      <w:r>
        <w:rPr>
          <w:rFonts w:ascii="Times New Roman" w:hAnsi="Times New Roman" w:cs="Times New Roman"/>
          <w:i/>
          <w:sz w:val="20"/>
          <w:szCs w:val="20"/>
        </w:rPr>
        <w:t xml:space="preserve"> (e.g., </w:t>
      </w:r>
      <w:r w:rsidR="00473CEF">
        <w:rPr>
          <w:rFonts w:ascii="Times New Roman" w:hAnsi="Times New Roman" w:cs="Times New Roman"/>
          <w:i/>
          <w:sz w:val="20"/>
          <w:szCs w:val="20"/>
        </w:rPr>
        <w:t xml:space="preserve">up to </w:t>
      </w:r>
      <w:r>
        <w:rPr>
          <w:rFonts w:ascii="Times New Roman" w:hAnsi="Times New Roman" w:cs="Times New Roman"/>
          <w:i/>
          <w:sz w:val="20"/>
          <w:szCs w:val="20"/>
        </w:rPr>
        <w:t>16) should be considered.</w:t>
      </w:r>
    </w:p>
    <w:p w14:paraId="6A37E575" w14:textId="77777777" w:rsidR="003C15B8" w:rsidRPr="003C15B8" w:rsidRDefault="003C15B8" w:rsidP="003C15B8">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Indoor hotspot</w:t>
      </w:r>
    </w:p>
    <w:p w14:paraId="7D6AB941" w14:textId="77777777" w:rsidR="003C15B8" w:rsidRPr="003C15B8" w:rsidRDefault="003C15B8" w:rsidP="003C15B8">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Dense urban</w:t>
      </w:r>
    </w:p>
    <w:p w14:paraId="0251E735" w14:textId="77777777" w:rsidR="003C15B8" w:rsidRPr="003C15B8" w:rsidRDefault="003C15B8" w:rsidP="003C15B8">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Rural</w:t>
      </w:r>
    </w:p>
    <w:p w14:paraId="3680EBEB" w14:textId="0B330714" w:rsidR="00416C54" w:rsidRDefault="003C15B8" w:rsidP="003C15B8">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Urban Macro</w:t>
      </w:r>
    </w:p>
    <w:p w14:paraId="6C5CD4A5" w14:textId="77777777" w:rsidR="0031665E" w:rsidRDefault="0031665E" w:rsidP="0031665E">
      <w:pPr>
        <w:snapToGrid w:val="0"/>
        <w:spacing w:before="120"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instance, we have the following modification in red on the top of indoor hotspot as in TR 38.913: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31665E" w:rsidRPr="0003688F" w14:paraId="20078510" w14:textId="77777777" w:rsidTr="000B3D02">
        <w:tc>
          <w:tcPr>
            <w:tcW w:w="1896" w:type="dxa"/>
            <w:shd w:val="clear" w:color="auto" w:fill="FFFFFF"/>
          </w:tcPr>
          <w:p w14:paraId="736342EE" w14:textId="77777777" w:rsidR="0031665E" w:rsidRPr="00221152" w:rsidRDefault="0031665E" w:rsidP="00721974">
            <w:pPr>
              <w:pStyle w:val="TAL"/>
              <w:snapToGrid w:val="0"/>
            </w:pPr>
            <w:r w:rsidRPr="00221152">
              <w:lastRenderedPageBreak/>
              <w:t>BS antenna elements</w:t>
            </w:r>
            <w:r w:rsidRPr="003866EC">
              <w:rPr>
                <w:rFonts w:hint="eastAsia"/>
              </w:rPr>
              <w:t xml:space="preserve"> NOTE4</w:t>
            </w:r>
          </w:p>
        </w:tc>
        <w:tc>
          <w:tcPr>
            <w:tcW w:w="7460" w:type="dxa"/>
            <w:shd w:val="clear" w:color="auto" w:fill="FFFFFF"/>
          </w:tcPr>
          <w:p w14:paraId="420B9920" w14:textId="0F11FACA" w:rsidR="0031665E" w:rsidRDefault="0031665E" w:rsidP="0031665E">
            <w:pPr>
              <w:pStyle w:val="TAL"/>
              <w:snapToGrid w:val="0"/>
            </w:pPr>
            <w:r w:rsidRPr="003866EC">
              <w:t>Around 30GHz</w:t>
            </w:r>
            <w:r w:rsidRPr="003866EC">
              <w:rPr>
                <w:rFonts w:hint="eastAsia"/>
              </w:rPr>
              <w:t xml:space="preserve"> or Around 70GHz</w:t>
            </w:r>
            <w:r w:rsidRPr="003866EC">
              <w:t>: Up to 256 Tx and Rx antenna elements</w:t>
            </w:r>
          </w:p>
          <w:p w14:paraId="3FCEC47D" w14:textId="0C621B56" w:rsidR="0031665E" w:rsidRPr="00721974" w:rsidRDefault="0031665E" w:rsidP="00721974">
            <w:pPr>
              <w:pStyle w:val="TAL"/>
              <w:snapToGrid w:val="0"/>
              <w:rPr>
                <w:color w:val="FF0000"/>
              </w:rPr>
            </w:pPr>
            <w:r>
              <w:rPr>
                <w:color w:val="FF0000"/>
              </w:rPr>
              <w:t xml:space="preserve">Around 7GHz: </w:t>
            </w:r>
            <w:r w:rsidR="00473CEF">
              <w:rPr>
                <w:rFonts w:hint="eastAsia"/>
                <w:color w:val="FF0000"/>
              </w:rPr>
              <w:t>Up</w:t>
            </w:r>
            <w:r w:rsidR="00473CEF">
              <w:rPr>
                <w:color w:val="FF0000"/>
              </w:rPr>
              <w:t xml:space="preserve"> to </w:t>
            </w:r>
            <w:r w:rsidR="007B557A">
              <w:rPr>
                <w:color w:val="FF0000"/>
              </w:rPr>
              <w:t xml:space="preserve">[1536 or </w:t>
            </w:r>
            <w:r w:rsidRPr="0031665E">
              <w:rPr>
                <w:color w:val="FF0000"/>
              </w:rPr>
              <w:t>2048</w:t>
            </w:r>
            <w:r w:rsidR="007B557A">
              <w:rPr>
                <w:color w:val="FF0000"/>
              </w:rPr>
              <w:t>]</w:t>
            </w:r>
            <w:r w:rsidRPr="0031665E">
              <w:rPr>
                <w:color w:val="FF0000"/>
              </w:rPr>
              <w:t xml:space="preserve"> antenna elements</w:t>
            </w:r>
          </w:p>
          <w:p w14:paraId="51FE336C" w14:textId="77777777" w:rsidR="0031665E" w:rsidRPr="0003688F" w:rsidRDefault="0031665E" w:rsidP="00721974">
            <w:pPr>
              <w:pStyle w:val="TAL"/>
              <w:snapToGrid w:val="0"/>
              <w:rPr>
                <w:rFonts w:eastAsia="宋体"/>
              </w:rPr>
            </w:pPr>
            <w:r w:rsidRPr="003866EC">
              <w:t xml:space="preserve">Around 4GHz: Up to </w:t>
            </w:r>
            <w:r w:rsidRPr="003866EC">
              <w:rPr>
                <w:rFonts w:hint="eastAsia"/>
              </w:rPr>
              <w:t>256</w:t>
            </w:r>
            <w:r w:rsidRPr="003866EC">
              <w:t xml:space="preserve"> Tx and Rx antenna elements</w:t>
            </w:r>
          </w:p>
        </w:tc>
      </w:tr>
      <w:tr w:rsidR="0031665E" w:rsidRPr="0003688F" w14:paraId="56FCE7F7" w14:textId="77777777" w:rsidTr="000B3D02">
        <w:tc>
          <w:tcPr>
            <w:tcW w:w="1896" w:type="dxa"/>
            <w:shd w:val="clear" w:color="auto" w:fill="FFFFFF"/>
          </w:tcPr>
          <w:p w14:paraId="5B886D95" w14:textId="77777777" w:rsidR="0031665E" w:rsidRPr="00221152" w:rsidRDefault="0031665E" w:rsidP="00721974">
            <w:pPr>
              <w:pStyle w:val="TAL"/>
              <w:snapToGrid w:val="0"/>
            </w:pPr>
            <w:r w:rsidRPr="00221152">
              <w:t>UE antenna elements</w:t>
            </w:r>
            <w:r w:rsidRPr="003866EC">
              <w:rPr>
                <w:rFonts w:hint="eastAsia"/>
              </w:rPr>
              <w:t xml:space="preserve"> NOTE4</w:t>
            </w:r>
          </w:p>
        </w:tc>
        <w:tc>
          <w:tcPr>
            <w:tcW w:w="7460" w:type="dxa"/>
            <w:shd w:val="clear" w:color="auto" w:fill="FFFFFF"/>
          </w:tcPr>
          <w:p w14:paraId="1BE0E4DE" w14:textId="5BFEB4AA" w:rsidR="0031665E" w:rsidRDefault="0031665E" w:rsidP="0031665E">
            <w:pPr>
              <w:pStyle w:val="TAL"/>
              <w:snapToGrid w:val="0"/>
            </w:pPr>
            <w:r w:rsidRPr="003866EC">
              <w:t>round 30GHz</w:t>
            </w:r>
            <w:r w:rsidRPr="003866EC">
              <w:rPr>
                <w:rFonts w:hint="eastAsia"/>
              </w:rPr>
              <w:t xml:space="preserve"> or Around 70GHz</w:t>
            </w:r>
            <w:r w:rsidRPr="003866EC">
              <w:t>: Up to 3</w:t>
            </w:r>
            <w:r w:rsidRPr="003866EC">
              <w:rPr>
                <w:rFonts w:hint="eastAsia"/>
              </w:rPr>
              <w:t>2</w:t>
            </w:r>
            <w:r w:rsidRPr="003866EC">
              <w:t xml:space="preserve"> Tx and Rx antenna elements</w:t>
            </w:r>
          </w:p>
          <w:p w14:paraId="5565D245" w14:textId="12659392" w:rsidR="0031665E" w:rsidRPr="00721974" w:rsidRDefault="0031665E" w:rsidP="00721974">
            <w:pPr>
              <w:pStyle w:val="TAL"/>
              <w:snapToGrid w:val="0"/>
              <w:rPr>
                <w:color w:val="FF0000"/>
              </w:rPr>
            </w:pPr>
            <w:r>
              <w:rPr>
                <w:color w:val="FF0000"/>
              </w:rPr>
              <w:t xml:space="preserve">Around 7GHz: </w:t>
            </w:r>
            <w:r w:rsidR="00473CEF">
              <w:rPr>
                <w:color w:val="FF0000"/>
              </w:rPr>
              <w:t>U</w:t>
            </w:r>
            <w:r>
              <w:rPr>
                <w:color w:val="FF0000"/>
              </w:rPr>
              <w:t>p to 16 Tx and Rx</w:t>
            </w:r>
            <w:r w:rsidRPr="0031665E">
              <w:rPr>
                <w:color w:val="FF0000"/>
              </w:rPr>
              <w:t xml:space="preserve"> antenna elements</w:t>
            </w:r>
          </w:p>
          <w:p w14:paraId="1DB8D62B" w14:textId="77777777" w:rsidR="0031665E" w:rsidRPr="0003688F" w:rsidRDefault="0031665E" w:rsidP="00721974">
            <w:pPr>
              <w:pStyle w:val="TAL"/>
              <w:snapToGrid w:val="0"/>
              <w:rPr>
                <w:rFonts w:eastAsia="宋体"/>
              </w:rPr>
            </w:pPr>
            <w:r w:rsidRPr="003866EC">
              <w:t>Around 4GHz: Up to 8 Tx and Rx antenna elements</w:t>
            </w:r>
          </w:p>
        </w:tc>
      </w:tr>
    </w:tbl>
    <w:p w14:paraId="2136AD35" w14:textId="293F55BE" w:rsidR="007C2EE2" w:rsidRDefault="004A139E" w:rsidP="00721974">
      <w:pPr>
        <w:snapToGrid w:val="0"/>
        <w:spacing w:before="120" w:afterLines="50" w:after="120"/>
        <w:outlineLvl w:val="2"/>
        <w:rPr>
          <w:rFonts w:ascii="Times New Roman" w:hAnsi="Times New Roman" w:cs="Times New Roman"/>
          <w:b/>
          <w:color w:val="0D0D0D"/>
          <w:szCs w:val="20"/>
        </w:rPr>
      </w:pPr>
      <w:r>
        <w:rPr>
          <w:rFonts w:ascii="Times New Roman" w:hAnsi="Times New Roman" w:cs="Times New Roman"/>
          <w:b/>
          <w:color w:val="0D0D0D"/>
          <w:szCs w:val="20"/>
        </w:rPr>
        <w:t>2.1.2 Multi-TRP</w:t>
      </w:r>
      <w:r w:rsidR="000A7C98">
        <w:rPr>
          <w:rFonts w:ascii="Times New Roman" w:hAnsi="Times New Roman" w:cs="Times New Roman"/>
          <w:b/>
          <w:color w:val="0D0D0D"/>
          <w:szCs w:val="20"/>
        </w:rPr>
        <w:t xml:space="preserve"> scenarios including asymmetric DL sTRP/UL mTRP</w:t>
      </w:r>
      <w:r>
        <w:rPr>
          <w:rFonts w:ascii="Times New Roman" w:hAnsi="Times New Roman" w:cs="Times New Roman"/>
          <w:b/>
          <w:color w:val="0D0D0D"/>
          <w:szCs w:val="20"/>
        </w:rPr>
        <w:t xml:space="preserve"> </w:t>
      </w:r>
    </w:p>
    <w:p w14:paraId="499F7FFA" w14:textId="44A533D2" w:rsidR="007C2EE2" w:rsidRDefault="004A139E" w:rsidP="00721974">
      <w:pPr>
        <w:widowControl/>
        <w:adjustRightInd w:val="0"/>
        <w:snapToGrid w:val="0"/>
        <w:spacing w:beforeLines="50" w:before="120" w:afterLines="50" w:after="120"/>
        <w:rPr>
          <w:rFonts w:ascii="Times New Roman" w:hAnsi="Times New Roman" w:cs="Times New Roman"/>
          <w:sz w:val="20"/>
          <w:lang w:val="en-GB"/>
        </w:rPr>
      </w:pPr>
      <w:r>
        <w:rPr>
          <w:rFonts w:ascii="Times New Roman" w:hAnsi="Times New Roman" w:cs="Times New Roman"/>
          <w:sz w:val="20"/>
          <w:lang w:val="en-GB"/>
        </w:rPr>
        <w:t xml:space="preserve">Besides for the increase of antenna elements in a single transmission point, distributed MIMO has become another emerging feature for maximizing multi-antenna gains while balancing implementation complexity and throughput performance. In our views, coherent joint transmission (CJT) improves coverage and average throughput in commercial deployments with high-performance backhaul and synchronization, targeting FR1, can be beneficial in expanding the utility of multi-TRP deployments; non-coherent joint transmission (NC-JT) can be considered as a starting point for FR2 deployment to accommodate the challenge of unpredicted blockage. The deployment scenarios of multi-TRP operation (CJT/NCJT) can be divided into the following three categories: a) intra-site, b) inter-site, and c) intra-&amp;inter-site as shown in Figure </w:t>
      </w:r>
      <w:r>
        <w:rPr>
          <w:rFonts w:ascii="Times New Roman" w:hAnsi="Times New Roman" w:cs="Times New Roman" w:hint="eastAsia"/>
          <w:sz w:val="20"/>
        </w:rPr>
        <w:t>5</w:t>
      </w:r>
      <w:r>
        <w:rPr>
          <w:rFonts w:ascii="Times New Roman" w:hAnsi="Times New Roman" w:cs="Times New Roman"/>
          <w:sz w:val="20"/>
          <w:lang w:val="en-GB"/>
        </w:rPr>
        <w:t>.</w:t>
      </w:r>
      <w:r>
        <w:rPr>
          <w:rFonts w:eastAsia="微软雅黑"/>
          <w:szCs w:val="20"/>
        </w:rPr>
        <w:t xml:space="preserve"> </w:t>
      </w:r>
      <w:r>
        <w:rPr>
          <w:rFonts w:ascii="Times New Roman" w:hAnsi="Times New Roman" w:cs="Times New Roman"/>
          <w:sz w:val="20"/>
          <w:lang w:val="en-GB"/>
        </w:rPr>
        <w:t xml:space="preserve"> </w:t>
      </w:r>
    </w:p>
    <w:p w14:paraId="06FD7CBB" w14:textId="77777777" w:rsidR="007C2EE2" w:rsidRDefault="004A139E" w:rsidP="00721974">
      <w:pPr>
        <w:snapToGrid w:val="0"/>
        <w:spacing w:beforeLines="50" w:before="120" w:afterLines="50" w:after="120"/>
        <w:jc w:val="center"/>
      </w:pPr>
      <w:r>
        <w:object w:dxaOrig="8266" w:dyaOrig="3071" w14:anchorId="3523C424">
          <v:shape id="_x0000_i1038" type="#_x0000_t75" style="width:413.5pt;height:153.5pt" o:ole="">
            <v:imagedata r:id="rId15" o:title=""/>
          </v:shape>
          <o:OLEObject Type="Embed" ProgID="Visio.Drawing.11" ShapeID="_x0000_i1038" DrawAspect="Content" ObjectID="_1810425554" r:id="rId16"/>
        </w:object>
      </w:r>
    </w:p>
    <w:p w14:paraId="03548CF8" w14:textId="10C1CBF2" w:rsidR="007C2EE2" w:rsidRDefault="004A139E" w:rsidP="00721974">
      <w:pPr>
        <w:pStyle w:val="aff3"/>
        <w:snapToGrid w:val="0"/>
        <w:spacing w:beforeLines="50" w:before="120" w:afterLines="50" w:after="120"/>
        <w:contextualSpacing w:val="0"/>
        <w:jc w:val="center"/>
        <w:rPr>
          <w:rFonts w:ascii="Times New Roman" w:hAnsi="Times New Roman" w:cs="Times New Roman"/>
          <w:sz w:val="20"/>
        </w:rPr>
      </w:pPr>
      <w:r>
        <w:rPr>
          <w:rFonts w:ascii="Times New Roman" w:hAnsi="Times New Roman" w:cs="Times New Roman" w:hint="eastAsia"/>
          <w:b/>
          <w:bCs/>
          <w:sz w:val="20"/>
        </w:rPr>
        <w:t xml:space="preserve">Figure </w:t>
      </w:r>
      <w:r>
        <w:rPr>
          <w:rFonts w:ascii="Times New Roman" w:hAnsi="Times New Roman" w:cs="Times New Roman" w:hint="eastAsia"/>
          <w:b/>
          <w:sz w:val="20"/>
          <w:lang w:eastAsia="zh-CN"/>
        </w:rPr>
        <w:t>5</w:t>
      </w:r>
      <w:r>
        <w:rPr>
          <w:rFonts w:ascii="Times New Roman" w:hAnsi="Times New Roman" w:cs="Times New Roman" w:hint="eastAsia"/>
          <w:sz w:val="20"/>
        </w:rPr>
        <w:t xml:space="preserve"> </w:t>
      </w:r>
      <w:r>
        <w:rPr>
          <w:rFonts w:ascii="Times New Roman" w:hAnsi="Times New Roman" w:cs="Times New Roman"/>
          <w:sz w:val="20"/>
        </w:rPr>
        <w:t>Deployment scenarios for coherent JT: (a) intra-site, (b) inter-site</w:t>
      </w:r>
      <w:r>
        <w:rPr>
          <w:rFonts w:ascii="Times New Roman" w:eastAsia="宋体" w:hAnsi="Times New Roman" w:cs="Times New Roman" w:hint="eastAsia"/>
          <w:sz w:val="20"/>
        </w:rPr>
        <w:t>, (c) intra</w:t>
      </w:r>
      <w:r>
        <w:rPr>
          <w:rFonts w:ascii="Times New Roman" w:eastAsia="宋体" w:hAnsi="Times New Roman" w:cs="Times New Roman"/>
          <w:sz w:val="20"/>
        </w:rPr>
        <w:t>-</w:t>
      </w:r>
      <w:r>
        <w:rPr>
          <w:rFonts w:ascii="Times New Roman" w:eastAsia="宋体" w:hAnsi="Times New Roman" w:cs="Times New Roman" w:hint="eastAsia"/>
          <w:sz w:val="20"/>
        </w:rPr>
        <w:t>&amp;inter-site</w:t>
      </w:r>
    </w:p>
    <w:p w14:paraId="5DB0B73F" w14:textId="59541DA2" w:rsidR="007C2EE2" w:rsidRDefault="004A139E" w:rsidP="00721974">
      <w:pPr>
        <w:snapToGrid w:val="0"/>
        <w:spacing w:beforeLines="50" w:before="120" w:afterLines="50" w:after="120"/>
        <w:rPr>
          <w:rFonts w:eastAsia="微软雅黑"/>
          <w:szCs w:val="20"/>
          <w:lang w:val="en-GB"/>
        </w:rPr>
      </w:pPr>
      <w:r>
        <w:rPr>
          <w:rFonts w:ascii="Times New Roman" w:hAnsi="Times New Roman" w:cs="Times New Roman"/>
          <w:sz w:val="20"/>
          <w:lang w:val="en-GB"/>
        </w:rPr>
        <w:t xml:space="preserve">In this subsection, for 3.5GHz, we have the following evaluation for coherent joint transmission to show its potential gains in terms of ensuring overall coverage and cell-edge performance, </w:t>
      </w:r>
      <w:r>
        <w:rPr>
          <w:rFonts w:ascii="Times New Roman" w:eastAsia="微软雅黑" w:hAnsi="Times New Roman" w:cs="Times New Roman"/>
          <w:sz w:val="20"/>
          <w:szCs w:val="20"/>
          <w:lang w:val="en-GB"/>
        </w:rPr>
        <w:t>through improving spatial multiplexing gain and mitigating inter-UE interference in MU-MIMO, besides having the above-mentioned ultra</w:t>
      </w:r>
      <w:r>
        <w:rPr>
          <w:rFonts w:ascii="Times New Roman" w:hAnsi="Times New Roman" w:cs="Times New Roman"/>
          <w:sz w:val="20"/>
          <w:lang w:val="en-GB"/>
        </w:rPr>
        <w:t>-</w:t>
      </w:r>
      <w:r>
        <w:rPr>
          <w:rFonts w:ascii="Times New Roman" w:eastAsia="微软雅黑" w:hAnsi="Times New Roman" w:cs="Times New Roman"/>
          <w:sz w:val="20"/>
          <w:szCs w:val="20"/>
          <w:lang w:val="en-GB"/>
        </w:rPr>
        <w:t xml:space="preserve">massive MIMO. One example can be found in the Figure </w:t>
      </w:r>
      <w:r>
        <w:rPr>
          <w:rFonts w:ascii="Times New Roman" w:hAnsi="Times New Roman" w:cs="Times New Roman" w:hint="eastAsia"/>
          <w:sz w:val="20"/>
        </w:rPr>
        <w:t>6</w:t>
      </w:r>
      <w:r>
        <w:rPr>
          <w:rFonts w:ascii="Times New Roman" w:eastAsia="微软雅黑" w:hAnsi="Times New Roman" w:cs="Times New Roman"/>
          <w:sz w:val="20"/>
          <w:szCs w:val="20"/>
          <w:lang w:val="en-GB"/>
        </w:rPr>
        <w:t>.</w:t>
      </w:r>
    </w:p>
    <w:p w14:paraId="5F72CBB9" w14:textId="0B01A8A5" w:rsidR="007C2EE2" w:rsidRDefault="004A139E" w:rsidP="00721974">
      <w:pPr>
        <w:pStyle w:val="aff3"/>
        <w:widowControl/>
        <w:numPr>
          <w:ilvl w:val="0"/>
          <w:numId w:val="10"/>
        </w:numPr>
        <w:adjustRightInd w:val="0"/>
        <w:snapToGrid w:val="0"/>
        <w:spacing w:beforeLines="50" w:before="120" w:afterLines="50" w:after="120"/>
        <w:contextualSpacing w:val="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In Rel-18 CJT-CSI evaluation, per sTRP TypeII vs CJT-TypeII CSI, it can be observed that there is ~15% average UPT gain and ~40% cell-edge gain, as shown in the Figure </w:t>
      </w:r>
      <w:r>
        <w:rPr>
          <w:rFonts w:ascii="Times New Roman" w:eastAsia="微软雅黑" w:hAnsi="Times New Roman" w:cs="Times New Roman" w:hint="eastAsia"/>
          <w:sz w:val="20"/>
          <w:szCs w:val="20"/>
          <w:lang w:eastAsia="zh-CN"/>
        </w:rPr>
        <w:t>3</w:t>
      </w:r>
      <w:r>
        <w:rPr>
          <w:rFonts w:ascii="Times New Roman" w:eastAsia="微软雅黑" w:hAnsi="Times New Roman" w:cs="Times New Roman"/>
          <w:sz w:val="20"/>
          <w:szCs w:val="20"/>
          <w:lang w:val="en-GB"/>
        </w:rPr>
        <w:t>, and then we can further observe some more performance gain (e.g., ~100% gains for cell-edge UE), if being based on TDD channel reciprocity.</w:t>
      </w:r>
    </w:p>
    <w:p w14:paraId="51FE4EE6" w14:textId="77777777" w:rsidR="007C2EE2" w:rsidRDefault="004A139E" w:rsidP="00721974">
      <w:pPr>
        <w:pStyle w:val="aff3"/>
        <w:snapToGrid w:val="0"/>
        <w:spacing w:beforeLines="50" w:before="120" w:afterLines="50" w:after="120"/>
      </w:pPr>
      <w:r>
        <w:rPr>
          <w:noProof/>
        </w:rPr>
        <w:drawing>
          <wp:inline distT="0" distB="0" distL="0" distR="0" wp14:anchorId="57791113" wp14:editId="5A90E68F">
            <wp:extent cx="2632710" cy="17335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7"/>
                    <a:stretch>
                      <a:fillRect/>
                    </a:stretch>
                  </pic:blipFill>
                  <pic:spPr>
                    <a:xfrm>
                      <a:off x="0" y="0"/>
                      <a:ext cx="2679612" cy="1764135"/>
                    </a:xfrm>
                    <a:prstGeom prst="rect">
                      <a:avLst/>
                    </a:prstGeom>
                  </pic:spPr>
                </pic:pic>
              </a:graphicData>
            </a:graphic>
          </wp:inline>
        </w:drawing>
      </w:r>
      <w:r>
        <w:t xml:space="preserve"> </w:t>
      </w:r>
      <w:r>
        <w:rPr>
          <w:noProof/>
        </w:rPr>
        <w:drawing>
          <wp:inline distT="0" distB="0" distL="0" distR="0" wp14:anchorId="03E9E1EE" wp14:editId="3E8D231B">
            <wp:extent cx="2684145" cy="1746250"/>
            <wp:effectExtent l="0" t="0" r="190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8"/>
                    <a:stretch>
                      <a:fillRect/>
                    </a:stretch>
                  </pic:blipFill>
                  <pic:spPr>
                    <a:xfrm>
                      <a:off x="0" y="0"/>
                      <a:ext cx="2743354" cy="1784938"/>
                    </a:xfrm>
                    <a:prstGeom prst="rect">
                      <a:avLst/>
                    </a:prstGeom>
                  </pic:spPr>
                </pic:pic>
              </a:graphicData>
            </a:graphic>
          </wp:inline>
        </w:drawing>
      </w:r>
    </w:p>
    <w:p w14:paraId="2425AD77" w14:textId="59AF7EC8" w:rsidR="007C2EE2" w:rsidRDefault="004A139E" w:rsidP="00721974">
      <w:pPr>
        <w:pStyle w:val="aff3"/>
        <w:snapToGrid w:val="0"/>
        <w:spacing w:beforeLines="50" w:before="120" w:afterLines="50" w:after="120"/>
        <w:contextualSpacing w:val="0"/>
        <w:jc w:val="center"/>
        <w:rPr>
          <w:rFonts w:ascii="Times New Roman" w:hAnsi="Times New Roman" w:cs="Times New Roman"/>
          <w:sz w:val="20"/>
        </w:rPr>
      </w:pPr>
      <w:r>
        <w:rPr>
          <w:rFonts w:ascii="Times New Roman" w:hAnsi="Times New Roman" w:cs="Times New Roman"/>
          <w:b/>
          <w:bCs/>
          <w:sz w:val="20"/>
        </w:rPr>
        <w:t xml:space="preserve">Figure </w:t>
      </w:r>
      <w:r>
        <w:rPr>
          <w:rFonts w:ascii="Times New Roman" w:hAnsi="Times New Roman" w:cs="Times New Roman" w:hint="eastAsia"/>
          <w:b/>
          <w:bCs/>
          <w:sz w:val="20"/>
          <w:lang w:eastAsia="zh-CN"/>
        </w:rPr>
        <w:t>6</w:t>
      </w:r>
      <w:r>
        <w:rPr>
          <w:rFonts w:ascii="Times New Roman" w:hAnsi="Times New Roman" w:cs="Times New Roman"/>
          <w:sz w:val="20"/>
        </w:rPr>
        <w:t xml:space="preserve"> UPT performance comparison based on single TRP operation and multi-TRP CJT operation</w:t>
      </w:r>
    </w:p>
    <w:p w14:paraId="3514C8FF" w14:textId="77777777" w:rsidR="007C2EE2" w:rsidRDefault="004A139E" w:rsidP="00721974">
      <w:pPr>
        <w:snapToGrid w:val="0"/>
        <w:spacing w:beforeLines="50" w:before="120" w:afterLines="50" w:after="120"/>
        <w:rPr>
          <w:rFonts w:ascii="Times New Roman" w:hAnsi="Times New Roman" w:cs="Times New Roman"/>
          <w:sz w:val="20"/>
          <w:lang w:val="en-GB"/>
        </w:rPr>
      </w:pPr>
      <w:r>
        <w:rPr>
          <w:rFonts w:ascii="Times New Roman" w:hAnsi="Times New Roman" w:cs="Times New Roman" w:hint="eastAsia"/>
          <w:sz w:val="20"/>
          <w:lang w:val="en-GB"/>
        </w:rPr>
        <w:t xml:space="preserve">Currently, techniques applied to MIMO systems are basically based on the assumption that uplink (UL) and downlink (DL) services are provided by the same physical serving site (e.g., base station, network node, access point, etc.), however challenges appear if such DL and UL serving site bundling architecture is deployed in the D-MIMO system. </w:t>
      </w:r>
    </w:p>
    <w:p w14:paraId="796FC00A" w14:textId="77777777" w:rsidR="007C2EE2" w:rsidRDefault="004A139E" w:rsidP="00721974">
      <w:pPr>
        <w:pStyle w:val="aff3"/>
        <w:numPr>
          <w:ilvl w:val="0"/>
          <w:numId w:val="10"/>
        </w:numPr>
        <w:snapToGrid w:val="0"/>
        <w:spacing w:beforeLines="50" w:before="120" w:afterLines="50" w:after="120"/>
        <w:contextualSpacing w:val="0"/>
        <w:rPr>
          <w:rFonts w:ascii="Times New Roman" w:hAnsi="Times New Roman" w:cs="Times New Roman"/>
          <w:sz w:val="20"/>
          <w:lang w:val="en-GB"/>
        </w:rPr>
      </w:pPr>
      <w:r>
        <w:rPr>
          <w:rFonts w:ascii="Times New Roman" w:hAnsi="Times New Roman" w:cs="Times New Roman" w:hint="eastAsia"/>
          <w:sz w:val="20"/>
          <w:lang w:val="en-GB"/>
        </w:rPr>
        <w:t xml:space="preserve">Firstly, from the perspective of deployment cost of serving sites, due to cost of downlink transmission module of a site is normally higher than that of the uplink reception module, deploying a site supporting both uplink and downlink in case of only uplink capacity is restricted definitely leads to a notable waste on the deployment cost. </w:t>
      </w:r>
    </w:p>
    <w:p w14:paraId="4F2744EE" w14:textId="11CA480A" w:rsidR="007C2EE2" w:rsidRDefault="004A139E" w:rsidP="00721974">
      <w:pPr>
        <w:pStyle w:val="aff3"/>
        <w:numPr>
          <w:ilvl w:val="0"/>
          <w:numId w:val="10"/>
        </w:numPr>
        <w:snapToGrid w:val="0"/>
        <w:spacing w:beforeLines="50" w:before="120" w:afterLines="50" w:after="120"/>
        <w:contextualSpacing w:val="0"/>
        <w:rPr>
          <w:rFonts w:ascii="Times New Roman" w:hAnsi="Times New Roman" w:cs="Times New Roman"/>
          <w:sz w:val="20"/>
          <w:lang w:val="en-GB"/>
        </w:rPr>
      </w:pPr>
      <w:r>
        <w:rPr>
          <w:rFonts w:ascii="Times New Roman" w:hAnsi="Times New Roman" w:cs="Times New Roman" w:hint="eastAsia"/>
          <w:sz w:val="20"/>
          <w:lang w:val="en-GB"/>
        </w:rPr>
        <w:t xml:space="preserve">Secondly, in Heterogeneous Network (HetNet) scenario where macro base stations and micro nodes are </w:t>
      </w:r>
      <w:r>
        <w:rPr>
          <w:rFonts w:ascii="Times New Roman" w:hAnsi="Times New Roman" w:cs="Times New Roman" w:hint="eastAsia"/>
          <w:sz w:val="20"/>
          <w:lang w:val="en-GB"/>
        </w:rPr>
        <w:lastRenderedPageBreak/>
        <w:t xml:space="preserve">deployed, the best serving site providing downlink services to a UE can be different from that providing uplink services when the optimal site selection scheme is applied to downlink and uplink individually. Still using DL and UL serving site bundling architecture in such case </w:t>
      </w:r>
      <w:r>
        <w:rPr>
          <w:rFonts w:ascii="Times New Roman" w:hAnsi="Times New Roman" w:cs="Times New Roman" w:hint="eastAsia"/>
          <w:sz w:val="20"/>
          <w:lang w:eastAsia="zh-CN"/>
        </w:rPr>
        <w:t>may</w:t>
      </w:r>
      <w:r>
        <w:rPr>
          <w:rFonts w:ascii="Times New Roman" w:hAnsi="Times New Roman" w:cs="Times New Roman" w:hint="eastAsia"/>
          <w:sz w:val="20"/>
          <w:lang w:val="en-GB"/>
        </w:rPr>
        <w:t xml:space="preserve"> lead to performance degradation. </w:t>
      </w:r>
    </w:p>
    <w:p w14:paraId="308C3DB2" w14:textId="77777777" w:rsidR="007C2EE2" w:rsidRDefault="004A139E" w:rsidP="00721974">
      <w:pPr>
        <w:pStyle w:val="aff3"/>
        <w:numPr>
          <w:ilvl w:val="0"/>
          <w:numId w:val="10"/>
        </w:numPr>
        <w:snapToGrid w:val="0"/>
        <w:spacing w:beforeLines="50" w:before="120" w:afterLines="50" w:after="120"/>
        <w:contextualSpacing w:val="0"/>
        <w:rPr>
          <w:rFonts w:ascii="Times New Roman" w:hAnsi="Times New Roman" w:cs="Times New Roman"/>
          <w:sz w:val="20"/>
          <w:lang w:val="en-GB"/>
        </w:rPr>
      </w:pPr>
      <w:r>
        <w:rPr>
          <w:rFonts w:ascii="Times New Roman" w:hAnsi="Times New Roman" w:cs="Times New Roman" w:hint="eastAsia"/>
          <w:sz w:val="20"/>
          <w:lang w:val="en-GB"/>
        </w:rPr>
        <w:t>Finally, besides DL transmissions of control and data messages specific to UEs, network site needs to transmit downlink reference signals (DL-RS) periodically by broadcast, hence network energy consumption is mainly contributed by downlink transmission modules. For the sake of network energy saving</w:t>
      </w:r>
      <w:r>
        <w:rPr>
          <w:rFonts w:ascii="Times New Roman" w:hAnsi="Times New Roman" w:cs="Times New Roman"/>
          <w:sz w:val="20"/>
          <w:lang w:val="en-GB"/>
        </w:rPr>
        <w:t xml:space="preserve"> or dynamic network operation optimization</w:t>
      </w:r>
      <w:r>
        <w:rPr>
          <w:rFonts w:ascii="Times New Roman" w:hAnsi="Times New Roman" w:cs="Times New Roman" w:hint="eastAsia"/>
          <w:sz w:val="20"/>
          <w:lang w:val="en-GB"/>
        </w:rPr>
        <w:t xml:space="preserve">, downlink transmission function can be </w:t>
      </w:r>
      <w:r>
        <w:rPr>
          <w:rFonts w:ascii="Times New Roman" w:hAnsi="Times New Roman" w:cs="Times New Roman"/>
          <w:sz w:val="20"/>
          <w:lang w:val="en-GB"/>
        </w:rPr>
        <w:t>reduced, even fully turned off,</w:t>
      </w:r>
      <w:r>
        <w:rPr>
          <w:rFonts w:ascii="Times New Roman" w:hAnsi="Times New Roman" w:cs="Times New Roman" w:hint="eastAsia"/>
          <w:sz w:val="20"/>
          <w:lang w:val="en-GB"/>
        </w:rPr>
        <w:t xml:space="preserve"> for some network sites when downlink load in the whole network is not heavy. Nevertheless, the traditional DL and UL serving site bundling architecture has to shut down the uplink reception function for these network sites as well, in other words, these sites are totally shut down. In such way, the number of available spatial resources for transmissions are reduced, the uplink coverage insufficiency issue arises again, and the network performance is degraded.</w:t>
      </w:r>
    </w:p>
    <w:p w14:paraId="0F27AA56" w14:textId="183A612E" w:rsidR="007C2EE2" w:rsidRDefault="004A139E" w:rsidP="00721974">
      <w:pPr>
        <w:snapToGrid w:val="0"/>
        <w:spacing w:beforeLines="50" w:before="120" w:after="50"/>
        <w:rPr>
          <w:rFonts w:eastAsia="宋体"/>
          <w:szCs w:val="20"/>
        </w:rPr>
      </w:pPr>
      <w:r>
        <w:rPr>
          <w:rFonts w:ascii="Times New Roman" w:hAnsi="Times New Roman" w:cs="Times New Roman"/>
          <w:sz w:val="20"/>
          <w:lang w:val="en-GB"/>
        </w:rPr>
        <w:t xml:space="preserve">Then, we have the following deployment scenarios for UL-TRP (DL and UL site-decoupling) as shown in the Figure </w:t>
      </w:r>
      <w:r>
        <w:rPr>
          <w:rFonts w:ascii="Times New Roman" w:hAnsi="Times New Roman" w:cs="Times New Roman" w:hint="eastAsia"/>
          <w:sz w:val="20"/>
        </w:rPr>
        <w:t>7</w:t>
      </w:r>
      <w:r>
        <w:rPr>
          <w:rFonts w:ascii="Times New Roman" w:hAnsi="Times New Roman" w:cs="Times New Roman" w:hint="eastAsia"/>
          <w:sz w:val="20"/>
          <w:lang w:val="en-GB"/>
        </w:rPr>
        <w:t>.</w:t>
      </w:r>
      <w:r>
        <w:rPr>
          <w:rFonts w:ascii="Times New Roman" w:hAnsi="Times New Roman" w:cs="Times New Roman"/>
          <w:sz w:val="20"/>
          <w:lang w:val="en-GB"/>
        </w:rPr>
        <w:t xml:space="preserve"> In short, </w:t>
      </w:r>
      <w:r>
        <w:rPr>
          <w:rFonts w:ascii="Times New Roman" w:hAnsi="Times New Roman" w:cs="Times New Roman" w:hint="eastAsia"/>
          <w:sz w:val="20"/>
          <w:lang w:val="en-GB"/>
        </w:rPr>
        <w:t>DL reception can be cut down or even turned off in micro nodes from UE</w:t>
      </w:r>
      <w:r>
        <w:rPr>
          <w:rFonts w:ascii="Times New Roman" w:hAnsi="Times New Roman" w:cs="Times New Roman"/>
          <w:sz w:val="20"/>
          <w:lang w:val="en-GB"/>
        </w:rPr>
        <w:t>’</w:t>
      </w:r>
      <w:r>
        <w:rPr>
          <w:rFonts w:ascii="Times New Roman" w:hAnsi="Times New Roman" w:cs="Times New Roman" w:hint="eastAsia"/>
          <w:sz w:val="20"/>
          <w:lang w:val="en-GB"/>
        </w:rPr>
        <w:t>s perspective, owing to the limited DL coverage and network energy reducing in micro nodes.</w:t>
      </w:r>
    </w:p>
    <w:p w14:paraId="7FBE6274" w14:textId="77777777" w:rsidR="007C2EE2" w:rsidRDefault="004A139E" w:rsidP="00721974">
      <w:pPr>
        <w:snapToGrid w:val="0"/>
        <w:spacing w:after="120"/>
        <w:jc w:val="center"/>
      </w:pPr>
      <w:r>
        <w:rPr>
          <w:noProof/>
        </w:rPr>
        <w:drawing>
          <wp:inline distT="0" distB="0" distL="0" distR="0" wp14:anchorId="47888CC3" wp14:editId="5C8CF964">
            <wp:extent cx="4085590" cy="1828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85590" cy="1828800"/>
                    </a:xfrm>
                    <a:prstGeom prst="rect">
                      <a:avLst/>
                    </a:prstGeom>
                    <a:noFill/>
                    <a:ln>
                      <a:noFill/>
                    </a:ln>
                  </pic:spPr>
                </pic:pic>
              </a:graphicData>
            </a:graphic>
          </wp:inline>
        </w:drawing>
      </w:r>
    </w:p>
    <w:p w14:paraId="45D40BB4" w14:textId="12AEE85F" w:rsidR="007C2EE2" w:rsidRDefault="004A139E" w:rsidP="00721974">
      <w:pPr>
        <w:snapToGrid w:val="0"/>
        <w:spacing w:before="120" w:after="120"/>
        <w:jc w:val="center"/>
        <w:rPr>
          <w:rFonts w:ascii="Times New Roman" w:eastAsia="微软雅黑" w:hAnsi="Times New Roman" w:cs="Times New Roman"/>
          <w:sz w:val="20"/>
          <w:szCs w:val="20"/>
        </w:rPr>
      </w:pPr>
      <w:r>
        <w:rPr>
          <w:rFonts w:ascii="Times New Roman" w:hAnsi="Times New Roman" w:cs="Times New Roman"/>
          <w:b/>
          <w:bCs/>
          <w:sz w:val="20"/>
          <w:szCs w:val="20"/>
          <w:lang w:eastAsia="en-US"/>
        </w:rPr>
        <w:t xml:space="preserve">Figure </w:t>
      </w:r>
      <w:r>
        <w:rPr>
          <w:rFonts w:ascii="Times New Roman" w:hAnsi="Times New Roman" w:cs="Times New Roman" w:hint="eastAsia"/>
          <w:b/>
          <w:bCs/>
          <w:sz w:val="20"/>
          <w:szCs w:val="20"/>
        </w:rPr>
        <w:t>7</w:t>
      </w:r>
      <w:r>
        <w:rPr>
          <w:rFonts w:ascii="Times New Roman" w:eastAsia="微软雅黑" w:hAnsi="Times New Roman" w:cs="Times New Roman"/>
          <w:b/>
          <w:bCs/>
          <w:sz w:val="20"/>
          <w:szCs w:val="20"/>
        </w:rPr>
        <w:tab/>
      </w:r>
      <w:r>
        <w:rPr>
          <w:rFonts w:ascii="Times New Roman" w:eastAsia="微软雅黑" w:hAnsi="Times New Roman" w:cs="Times New Roman"/>
          <w:sz w:val="20"/>
          <w:szCs w:val="20"/>
        </w:rPr>
        <w:t>Asymmetric DL sTRP/ UL mTRP scenarios</w:t>
      </w:r>
    </w:p>
    <w:p w14:paraId="32BEF101" w14:textId="128E4D40" w:rsidR="007C2EE2" w:rsidRDefault="004A139E" w:rsidP="00721974">
      <w:pPr>
        <w:snapToGrid w:val="0"/>
        <w:spacing w:beforeLines="50" w:before="120" w:afterLines="50" w:after="120"/>
        <w:rPr>
          <w:rFonts w:ascii="Times New Roman" w:hAnsi="Times New Roman" w:cs="Times New Roman"/>
          <w:sz w:val="20"/>
          <w:lang w:val="en-GB"/>
        </w:rPr>
      </w:pPr>
      <w:r>
        <w:rPr>
          <w:rFonts w:ascii="Times New Roman" w:hAnsi="Times New Roman" w:cs="Times New Roman" w:hint="eastAsia"/>
          <w:sz w:val="20"/>
          <w:lang w:val="en-GB"/>
        </w:rPr>
        <w:t xml:space="preserve">The evaluation results can be found in Figure </w:t>
      </w:r>
      <w:r>
        <w:rPr>
          <w:rFonts w:ascii="Times New Roman" w:hAnsi="Times New Roman" w:cs="Times New Roman" w:hint="eastAsia"/>
          <w:sz w:val="20"/>
        </w:rPr>
        <w:t>8</w:t>
      </w:r>
      <w:r>
        <w:rPr>
          <w:rFonts w:ascii="Times New Roman" w:hAnsi="Times New Roman" w:cs="Times New Roman" w:hint="eastAsia"/>
          <w:sz w:val="20"/>
          <w:lang w:val="en-GB"/>
        </w:rPr>
        <w:t>. It can be observed that, compared with legacy site selection (i.e., based on DL-RSRP), introducing DL/UL-site decoupling in HetNet (i.e., using UL TRP scheme(s)) can bring +31% cell-edge and +21.9% average UPT gain, through identifying optimal UL serving sites and balancing UL traffic payload among macro/micro serving sites. Besides, some other evaluation for introducing UL TRP as an individual deployment can be found in our previous plenary contribution [2].</w:t>
      </w:r>
    </w:p>
    <w:p w14:paraId="623079F2" w14:textId="77777777" w:rsidR="007C2EE2" w:rsidRDefault="004A139E" w:rsidP="00721974">
      <w:pPr>
        <w:snapToGrid w:val="0"/>
        <w:spacing w:before="120" w:after="120"/>
        <w:jc w:val="center"/>
      </w:pPr>
      <w:r>
        <w:rPr>
          <w:noProof/>
        </w:rPr>
        <w:drawing>
          <wp:inline distT="0" distB="0" distL="0" distR="0" wp14:anchorId="27486864" wp14:editId="1FD98FDC">
            <wp:extent cx="2797175" cy="1567815"/>
            <wp:effectExtent l="0" t="0" r="6985" b="1905"/>
            <wp:docPr id="19" name="图片 12" descr="a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descr="average"/>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97290" cy="1568385"/>
                    </a:xfrm>
                    <a:prstGeom prst="rect">
                      <a:avLst/>
                    </a:prstGeom>
                  </pic:spPr>
                </pic:pic>
              </a:graphicData>
            </a:graphic>
          </wp:inline>
        </w:drawing>
      </w:r>
      <w:r>
        <w:rPr>
          <w:noProof/>
        </w:rPr>
        <w:drawing>
          <wp:inline distT="0" distB="0" distL="0" distR="0" wp14:anchorId="7870A1FE" wp14:editId="14037A86">
            <wp:extent cx="2466340" cy="1567180"/>
            <wp:effectExtent l="0" t="0" r="0" b="0"/>
            <wp:docPr id="20" name="图片 13" descr="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descr="site"/>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80374" cy="1576464"/>
                    </a:xfrm>
                    <a:prstGeom prst="rect">
                      <a:avLst/>
                    </a:prstGeom>
                  </pic:spPr>
                </pic:pic>
              </a:graphicData>
            </a:graphic>
          </wp:inline>
        </w:drawing>
      </w:r>
    </w:p>
    <w:p w14:paraId="78C316CC" w14:textId="7836443F" w:rsidR="007C2EE2" w:rsidRDefault="004A139E" w:rsidP="00721974">
      <w:pPr>
        <w:snapToGrid w:val="0"/>
        <w:spacing w:before="120" w:after="120"/>
        <w:jc w:val="center"/>
        <w:rPr>
          <w:rFonts w:ascii="Times New Roman" w:eastAsia="微软雅黑" w:hAnsi="Times New Roman" w:cs="Times New Roman"/>
          <w:sz w:val="20"/>
          <w:szCs w:val="20"/>
        </w:rPr>
      </w:pPr>
      <w:r>
        <w:rPr>
          <w:rFonts w:ascii="Times New Roman" w:eastAsia="微软雅黑" w:hAnsi="Times New Roman" w:cs="Times New Roman"/>
          <w:b/>
          <w:bCs/>
          <w:sz w:val="20"/>
          <w:szCs w:val="20"/>
        </w:rPr>
        <w:t xml:space="preserve">Figure </w:t>
      </w:r>
      <w:r>
        <w:rPr>
          <w:rFonts w:ascii="Times New Roman" w:eastAsia="微软雅黑" w:hAnsi="Times New Roman" w:cs="Times New Roman" w:hint="eastAsia"/>
          <w:b/>
          <w:bCs/>
          <w:sz w:val="20"/>
          <w:szCs w:val="20"/>
        </w:rPr>
        <w:t>8</w:t>
      </w:r>
      <w:r>
        <w:rPr>
          <w:rFonts w:ascii="Times New Roman" w:eastAsia="微软雅黑" w:hAnsi="Times New Roman" w:cs="Times New Roman"/>
          <w:b/>
          <w:bCs/>
          <w:sz w:val="20"/>
          <w:szCs w:val="20"/>
        </w:rPr>
        <w:tab/>
      </w:r>
      <w:r>
        <w:rPr>
          <w:rFonts w:ascii="Times New Roman" w:eastAsia="微软雅黑" w:hAnsi="Times New Roman" w:cs="Times New Roman"/>
          <w:sz w:val="20"/>
          <w:szCs w:val="20"/>
        </w:rPr>
        <w:t xml:space="preserve">UL performance of asymmetric DL sTRP/UL mTRP scenario in HetNet: (left) 5% and average UPT comparison; (right) the number of serving UL-UEs for each of macro/micro nodes. Where ISD=200m, UE {4T, 23dBm}, Macro {32R, 44dBm for DL-Tx}, Micro {8R*3 site, 33dBm for DL Tx}, P0-80, FTP-1 RU~30%, and </w:t>
      </w:r>
      <w:r>
        <w:rPr>
          <w:rFonts w:ascii="Times New Roman" w:eastAsia="微软雅黑" w:hAnsi="Times New Roman" w:cs="Times New Roman"/>
          <w:sz w:val="20"/>
          <w:szCs w:val="20"/>
          <w:lang w:val="el-GR"/>
        </w:rPr>
        <w:t>Δ_</w:t>
      </w:r>
      <w:r>
        <w:rPr>
          <w:rFonts w:ascii="Times New Roman" w:eastAsia="微软雅黑" w:hAnsi="Times New Roman" w:cs="Times New Roman"/>
          <w:sz w:val="20"/>
          <w:szCs w:val="20"/>
        </w:rPr>
        <w:t>Macro=6 dB</w:t>
      </w:r>
    </w:p>
    <w:p w14:paraId="151181B1" w14:textId="726C8E51" w:rsidR="0031665E" w:rsidRPr="0031665E" w:rsidRDefault="004A139E" w:rsidP="0031665E">
      <w:pPr>
        <w:rPr>
          <w:rFonts w:ascii="Times New Roman" w:hAnsi="Times New Roman" w:cs="Times New Roman"/>
          <w:i/>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w:t>
      </w:r>
      <w:r w:rsidR="00816BE1">
        <w:rPr>
          <w:rFonts w:ascii="Times New Roman" w:hAnsi="Times New Roman" w:cs="Times New Roman"/>
          <w:b/>
          <w:i/>
          <w:sz w:val="20"/>
          <w:szCs w:val="20"/>
          <w:u w:val="single"/>
        </w:rPr>
        <w:t>2</w:t>
      </w:r>
      <w:r>
        <w:rPr>
          <w:rFonts w:ascii="Times New Roman" w:hAnsi="Times New Roman" w:cs="Times New Roman"/>
          <w:b/>
          <w:i/>
          <w:sz w:val="20"/>
          <w:szCs w:val="20"/>
        </w:rPr>
        <w:t xml:space="preserve">: </w:t>
      </w:r>
      <w:r w:rsidR="00816BE1">
        <w:rPr>
          <w:rFonts w:ascii="Times New Roman" w:hAnsi="Times New Roman" w:cs="Times New Roman"/>
          <w:i/>
          <w:sz w:val="20"/>
          <w:szCs w:val="20"/>
        </w:rPr>
        <w:t>To improve transmission performance, especially for cell-edge performance, besides for legacy single-TRP operation, m</w:t>
      </w:r>
      <w:r w:rsidR="00816BE1" w:rsidRPr="00701784">
        <w:rPr>
          <w:rFonts w:ascii="Times New Roman" w:hAnsi="Times New Roman" w:cs="Times New Roman"/>
          <w:i/>
          <w:sz w:val="20"/>
          <w:szCs w:val="20"/>
        </w:rPr>
        <w:t xml:space="preserve">ulti-TRP operation </w:t>
      </w:r>
      <w:r w:rsidR="00816BE1">
        <w:rPr>
          <w:rFonts w:ascii="Times New Roman" w:hAnsi="Times New Roman" w:cs="Times New Roman"/>
          <w:i/>
          <w:sz w:val="20"/>
          <w:szCs w:val="20"/>
        </w:rPr>
        <w:t xml:space="preserve">should be considered for 6G deployment. </w:t>
      </w:r>
      <w:r>
        <w:rPr>
          <w:rFonts w:ascii="Times New Roman" w:hAnsi="Times New Roman" w:cs="Times New Roman"/>
          <w:i/>
          <w:sz w:val="20"/>
          <w:szCs w:val="20"/>
        </w:rPr>
        <w:t xml:space="preserve">To </w:t>
      </w:r>
      <w:r w:rsidR="0031665E">
        <w:rPr>
          <w:rFonts w:ascii="Times New Roman" w:hAnsi="Times New Roman" w:cs="Times New Roman"/>
          <w:i/>
          <w:sz w:val="20"/>
          <w:szCs w:val="20"/>
        </w:rPr>
        <w:t xml:space="preserve">reduce deployment cost, </w:t>
      </w:r>
      <w:r>
        <w:rPr>
          <w:rFonts w:ascii="Times New Roman" w:hAnsi="Times New Roman" w:cs="Times New Roman"/>
          <w:i/>
          <w:sz w:val="20"/>
          <w:szCs w:val="20"/>
        </w:rPr>
        <w:t xml:space="preserve">ensure UL coverage </w:t>
      </w:r>
      <w:r w:rsidR="0031665E">
        <w:rPr>
          <w:rFonts w:ascii="Times New Roman" w:hAnsi="Times New Roman" w:cs="Times New Roman"/>
          <w:i/>
          <w:sz w:val="20"/>
          <w:szCs w:val="20"/>
        </w:rPr>
        <w:t>and save NW energy cost</w:t>
      </w:r>
      <w:r>
        <w:rPr>
          <w:rFonts w:ascii="Times New Roman" w:hAnsi="Times New Roman" w:cs="Times New Roman"/>
          <w:i/>
          <w:sz w:val="20"/>
          <w:szCs w:val="20"/>
        </w:rPr>
        <w:t>, the</w:t>
      </w:r>
      <w:r w:rsidR="0031665E">
        <w:rPr>
          <w:rFonts w:ascii="Times New Roman" w:hAnsi="Times New Roman" w:cs="Times New Roman"/>
          <w:i/>
          <w:sz w:val="20"/>
          <w:szCs w:val="20"/>
        </w:rPr>
        <w:t xml:space="preserve"> n</w:t>
      </w:r>
      <w:r w:rsidR="0031665E" w:rsidRPr="0031665E">
        <w:rPr>
          <w:rFonts w:ascii="Times New Roman" w:hAnsi="Times New Roman" w:cs="Times New Roman"/>
          <w:i/>
          <w:sz w:val="20"/>
          <w:szCs w:val="20"/>
        </w:rPr>
        <w:t>ew architecture of DL-TRP and UL-TRP decoupling, i.e., asymmetric DL sTRP/ UL mTRP</w:t>
      </w:r>
    </w:p>
    <w:p w14:paraId="31B01982" w14:textId="6AA6A5B5" w:rsidR="007C2EE2" w:rsidRPr="00721974" w:rsidRDefault="000B3D02">
      <w:pPr>
        <w:pStyle w:val="aff3"/>
        <w:numPr>
          <w:ilvl w:val="0"/>
          <w:numId w:val="10"/>
        </w:num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i/>
          <w:sz w:val="20"/>
          <w:szCs w:val="20"/>
        </w:rPr>
        <w:t xml:space="preserve">Case #1: On the deployment scenarios of </w:t>
      </w:r>
      <w:r w:rsidRPr="003B66A6">
        <w:rPr>
          <w:rFonts w:ascii="Times New Roman" w:hAnsi="Times New Roman" w:cs="Times New Roman"/>
          <w:i/>
          <w:sz w:val="20"/>
          <w:szCs w:val="20"/>
        </w:rPr>
        <w:t xml:space="preserve">indoor hotspot, </w:t>
      </w:r>
      <w:bookmarkStart w:id="5" w:name="_Hlk199779488"/>
      <w:r w:rsidRPr="003B66A6">
        <w:rPr>
          <w:rFonts w:ascii="Times New Roman" w:hAnsi="Times New Roman" w:cs="Times New Roman"/>
          <w:i/>
          <w:sz w:val="20"/>
          <w:szCs w:val="20"/>
        </w:rPr>
        <w:t>dense urban, rural, urban macro</w:t>
      </w:r>
      <w:bookmarkEnd w:id="5"/>
      <w:r>
        <w:rPr>
          <w:rFonts w:ascii="Times New Roman" w:hAnsi="Times New Roman" w:cs="Times New Roman"/>
          <w:i/>
          <w:sz w:val="20"/>
          <w:szCs w:val="20"/>
        </w:rPr>
        <w:t>, regarding TRP operation, a mixed mode of {DL+UL TRP, UL-only</w:t>
      </w:r>
      <w:r w:rsidRPr="00721974">
        <w:rPr>
          <w:rFonts w:ascii="Times New Roman" w:hAnsi="Times New Roman" w:cs="Times New Roman"/>
          <w:i/>
          <w:sz w:val="20"/>
          <w:szCs w:val="20"/>
        </w:rPr>
        <w:t xml:space="preserve"> </w:t>
      </w:r>
      <w:r>
        <w:rPr>
          <w:rFonts w:ascii="Times New Roman" w:hAnsi="Times New Roman" w:cs="Times New Roman"/>
          <w:i/>
          <w:sz w:val="20"/>
          <w:szCs w:val="20"/>
        </w:rPr>
        <w:t>TRP} should be supported</w:t>
      </w:r>
      <w:r w:rsidR="004A139E" w:rsidRPr="00721974">
        <w:rPr>
          <w:rFonts w:ascii="Times New Roman" w:hAnsi="Times New Roman" w:cs="Times New Roman"/>
          <w:i/>
          <w:sz w:val="20"/>
          <w:szCs w:val="20"/>
        </w:rPr>
        <w:t>.</w:t>
      </w:r>
    </w:p>
    <w:p w14:paraId="5FC09484" w14:textId="4CC81B85" w:rsidR="007C2EE2" w:rsidRDefault="000B3D02">
      <w:pPr>
        <w:pStyle w:val="aff3"/>
        <w:numPr>
          <w:ilvl w:val="0"/>
          <w:numId w:val="10"/>
        </w:num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i/>
          <w:sz w:val="20"/>
          <w:szCs w:val="20"/>
        </w:rPr>
        <w:t xml:space="preserve">Case #2: On the deployment scenarios of </w:t>
      </w:r>
      <w:r w:rsidRPr="003B66A6">
        <w:rPr>
          <w:rFonts w:ascii="Times New Roman" w:hAnsi="Times New Roman" w:cs="Times New Roman"/>
          <w:i/>
          <w:sz w:val="20"/>
          <w:szCs w:val="20"/>
        </w:rPr>
        <w:t>dense urban</w:t>
      </w:r>
      <w:r>
        <w:rPr>
          <w:rFonts w:ascii="Times New Roman" w:hAnsi="Times New Roman" w:cs="Times New Roman"/>
          <w:i/>
          <w:sz w:val="20"/>
          <w:szCs w:val="20"/>
        </w:rPr>
        <w:t xml:space="preserve"> (two-layer), m</w:t>
      </w:r>
      <w:r w:rsidRPr="000B3D02">
        <w:rPr>
          <w:rFonts w:ascii="Times New Roman" w:hAnsi="Times New Roman" w:cs="Times New Roman"/>
          <w:i/>
          <w:sz w:val="20"/>
          <w:szCs w:val="20"/>
        </w:rPr>
        <w:t xml:space="preserve">icro layer: </w:t>
      </w:r>
      <w:r>
        <w:rPr>
          <w:rFonts w:ascii="Times New Roman" w:hAnsi="Times New Roman" w:cs="Times New Roman"/>
          <w:i/>
          <w:sz w:val="20"/>
          <w:szCs w:val="20"/>
        </w:rPr>
        <w:t>UL-only</w:t>
      </w:r>
      <w:r w:rsidRPr="007519AA">
        <w:rPr>
          <w:rFonts w:ascii="Times New Roman" w:hAnsi="Times New Roman" w:cs="Times New Roman"/>
          <w:i/>
          <w:sz w:val="20"/>
          <w:szCs w:val="20"/>
        </w:rPr>
        <w:t xml:space="preserve"> </w:t>
      </w:r>
      <w:r>
        <w:rPr>
          <w:rFonts w:ascii="Times New Roman" w:hAnsi="Times New Roman" w:cs="Times New Roman"/>
          <w:i/>
          <w:sz w:val="20"/>
          <w:szCs w:val="20"/>
        </w:rPr>
        <w:t>TRP should be additionally provided, besides for DL+UL-TRP</w:t>
      </w:r>
      <w:r w:rsidR="004A139E">
        <w:rPr>
          <w:rFonts w:ascii="Times New Roman" w:hAnsi="Times New Roman" w:cs="Times New Roman"/>
          <w:i/>
          <w:sz w:val="20"/>
          <w:szCs w:val="20"/>
        </w:rPr>
        <w:t>.</w:t>
      </w:r>
    </w:p>
    <w:p w14:paraId="4175E8BB" w14:textId="2695DB1A" w:rsidR="000B3D02" w:rsidRDefault="000B3D02" w:rsidP="000B3D02">
      <w:pPr>
        <w:snapToGrid w:val="0"/>
        <w:spacing w:before="120"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instance, based on </w:t>
      </w:r>
      <w:r w:rsidR="008D3B15">
        <w:rPr>
          <w:rFonts w:ascii="Times New Roman" w:hAnsi="Times New Roman" w:cs="Times New Roman"/>
          <w:sz w:val="20"/>
          <w:szCs w:val="20"/>
        </w:rPr>
        <w:t>above analysis on multi-TRP operation</w:t>
      </w:r>
      <w:r>
        <w:rPr>
          <w:rFonts w:ascii="Times New Roman" w:hAnsi="Times New Roman" w:cs="Times New Roman"/>
          <w:sz w:val="20"/>
          <w:szCs w:val="20"/>
        </w:rPr>
        <w:t>, we have the following modification in red on the top of indoor hotspot</w:t>
      </w:r>
      <w:r w:rsidR="008D3B15">
        <w:rPr>
          <w:rFonts w:ascii="Times New Roman" w:hAnsi="Times New Roman" w:cs="Times New Roman"/>
          <w:sz w:val="20"/>
          <w:szCs w:val="20"/>
        </w:rPr>
        <w:t>/</w:t>
      </w:r>
      <w:r w:rsidR="008D3B15" w:rsidRPr="008D3B15">
        <w:rPr>
          <w:rFonts w:ascii="Times New Roman" w:hAnsi="Times New Roman" w:cs="Times New Roman"/>
          <w:sz w:val="20"/>
          <w:szCs w:val="20"/>
        </w:rPr>
        <w:t>dense urban, rural, urban macro</w:t>
      </w:r>
      <w:r>
        <w:rPr>
          <w:rFonts w:ascii="Times New Roman" w:hAnsi="Times New Roman" w:cs="Times New Roman"/>
          <w:sz w:val="20"/>
          <w:szCs w:val="20"/>
        </w:rPr>
        <w:t xml:space="preserve"> as in TR 38.913: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0B3D02" w:rsidRPr="0003688F" w14:paraId="67D92248" w14:textId="77777777" w:rsidTr="000B3D02">
        <w:tc>
          <w:tcPr>
            <w:tcW w:w="1896" w:type="dxa"/>
            <w:shd w:val="clear" w:color="auto" w:fill="FFFFFF"/>
          </w:tcPr>
          <w:p w14:paraId="636E2D9D" w14:textId="77777777" w:rsidR="000B3D02" w:rsidRPr="007519AA" w:rsidRDefault="000B3D02" w:rsidP="000B3D02">
            <w:pPr>
              <w:pStyle w:val="TAL"/>
              <w:snapToGrid w:val="0"/>
              <w:rPr>
                <w:color w:val="FF0000"/>
              </w:rPr>
            </w:pPr>
            <w:r w:rsidRPr="007519AA">
              <w:rPr>
                <w:color w:val="FF0000"/>
              </w:rPr>
              <w:lastRenderedPageBreak/>
              <w:t>TRP operation mode</w:t>
            </w:r>
          </w:p>
        </w:tc>
        <w:tc>
          <w:tcPr>
            <w:tcW w:w="7460" w:type="dxa"/>
            <w:shd w:val="clear" w:color="auto" w:fill="FFFFFF"/>
          </w:tcPr>
          <w:p w14:paraId="14D8DE84" w14:textId="77777777" w:rsidR="000B3D02" w:rsidRPr="007519AA" w:rsidRDefault="000B3D02" w:rsidP="000B3D02">
            <w:pPr>
              <w:pStyle w:val="TAL"/>
              <w:snapToGrid w:val="0"/>
              <w:rPr>
                <w:color w:val="FF0000"/>
              </w:rPr>
            </w:pPr>
            <w:r w:rsidRPr="007519AA">
              <w:rPr>
                <w:color w:val="FF0000"/>
              </w:rPr>
              <w:t>Around 4GHz and 7GHz: single TRP operation or coherent joint transmission</w:t>
            </w:r>
          </w:p>
          <w:p w14:paraId="446EE6B8" w14:textId="77777777" w:rsidR="000B3D02" w:rsidRDefault="000B3D02" w:rsidP="000B3D02">
            <w:pPr>
              <w:pStyle w:val="TAL"/>
              <w:snapToGrid w:val="0"/>
              <w:rPr>
                <w:color w:val="FF0000"/>
              </w:rPr>
            </w:pPr>
            <w:r w:rsidRPr="007519AA">
              <w:rPr>
                <w:color w:val="FF0000"/>
              </w:rPr>
              <w:t>Around 30GHz or Around 70GHz: single TRP operation or non-coherent joint transmission</w:t>
            </w:r>
          </w:p>
          <w:p w14:paraId="5EDD38CE" w14:textId="18578E12" w:rsidR="000B3D02" w:rsidRPr="007519AA" w:rsidRDefault="000B3D02" w:rsidP="000B3D02">
            <w:pPr>
              <w:pStyle w:val="TAL"/>
              <w:snapToGrid w:val="0"/>
              <w:rPr>
                <w:rFonts w:eastAsia="宋体"/>
                <w:color w:val="FF0000"/>
              </w:rPr>
            </w:pPr>
            <w:r>
              <w:rPr>
                <w:rFonts w:eastAsia="宋体"/>
                <w:color w:val="FF0000"/>
              </w:rPr>
              <w:t>Note: TRP</w:t>
            </w:r>
            <w:r w:rsidR="008D3B15">
              <w:rPr>
                <w:rFonts w:eastAsia="宋体"/>
                <w:color w:val="FF0000"/>
              </w:rPr>
              <w:t>(s)</w:t>
            </w:r>
            <w:r>
              <w:rPr>
                <w:rFonts w:eastAsia="宋体"/>
                <w:color w:val="FF0000"/>
              </w:rPr>
              <w:t xml:space="preserve"> can be all DL+UL </w:t>
            </w:r>
            <w:r>
              <w:rPr>
                <w:rFonts w:eastAsia="宋体" w:hint="eastAsia"/>
                <w:color w:val="FF0000"/>
              </w:rPr>
              <w:t>TRP</w:t>
            </w:r>
            <w:r>
              <w:rPr>
                <w:rFonts w:eastAsia="宋体"/>
                <w:color w:val="FF0000"/>
              </w:rPr>
              <w:t xml:space="preserve">, or </w:t>
            </w:r>
            <w:r w:rsidR="008D3B15">
              <w:rPr>
                <w:rFonts w:eastAsia="宋体"/>
                <w:color w:val="FF0000"/>
              </w:rPr>
              <w:t xml:space="preserve">randomly selected from </w:t>
            </w:r>
            <w:r w:rsidRPr="000B3D02">
              <w:rPr>
                <w:rFonts w:eastAsia="宋体"/>
                <w:color w:val="FF0000"/>
              </w:rPr>
              <w:t>{DL+UL TRP, UL-only TRP}</w:t>
            </w:r>
            <w:r>
              <w:rPr>
                <w:rFonts w:eastAsia="宋体"/>
                <w:color w:val="FF0000"/>
              </w:rPr>
              <w:t>.</w:t>
            </w:r>
          </w:p>
        </w:tc>
      </w:tr>
    </w:tbl>
    <w:p w14:paraId="4D7839C9" w14:textId="7C884C61" w:rsidR="000B3D02" w:rsidRDefault="008D3B15" w:rsidP="008D3B15">
      <w:pPr>
        <w:snapToGrid w:val="0"/>
        <w:spacing w:before="120" w:afterLines="50" w:after="120"/>
        <w:textAlignment w:val="center"/>
        <w:rPr>
          <w:rFonts w:ascii="Times New Roman" w:hAnsi="Times New Roman" w:cs="Times New Roman"/>
          <w:sz w:val="20"/>
          <w:szCs w:val="20"/>
        </w:rPr>
      </w:pPr>
      <w:r>
        <w:rPr>
          <w:rFonts w:ascii="Times New Roman" w:hAnsi="Times New Roman" w:cs="Times New Roman"/>
          <w:sz w:val="20"/>
          <w:szCs w:val="20"/>
        </w:rPr>
        <w:t xml:space="preserve">Then, for </w:t>
      </w:r>
      <w:r w:rsidRPr="008D3B15">
        <w:rPr>
          <w:rFonts w:ascii="Times New Roman" w:hAnsi="Times New Roman" w:cs="Times New Roman"/>
          <w:sz w:val="20"/>
          <w:szCs w:val="20"/>
        </w:rPr>
        <w:t>dense urban (two-layer),</w:t>
      </w:r>
      <w:r>
        <w:rPr>
          <w:rFonts w:ascii="Times New Roman" w:hAnsi="Times New Roman" w:cs="Times New Roman"/>
          <w:sz w:val="20"/>
          <w:szCs w:val="20"/>
        </w:rPr>
        <w:t xml:space="preserve"> we have the following recommendation: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8D3B15" w:rsidRPr="0003688F" w14:paraId="45DB7F4F" w14:textId="77777777" w:rsidTr="007519AA">
        <w:tc>
          <w:tcPr>
            <w:tcW w:w="1896" w:type="dxa"/>
            <w:shd w:val="clear" w:color="auto" w:fill="FFFFFF"/>
          </w:tcPr>
          <w:p w14:paraId="2822D4FC" w14:textId="77777777" w:rsidR="008D3B15" w:rsidRPr="007519AA" w:rsidRDefault="008D3B15" w:rsidP="007519AA">
            <w:pPr>
              <w:pStyle w:val="TAL"/>
              <w:snapToGrid w:val="0"/>
              <w:rPr>
                <w:color w:val="FF0000"/>
              </w:rPr>
            </w:pPr>
            <w:r w:rsidRPr="007519AA">
              <w:rPr>
                <w:color w:val="FF0000"/>
              </w:rPr>
              <w:t>TRP operation mode</w:t>
            </w:r>
          </w:p>
        </w:tc>
        <w:tc>
          <w:tcPr>
            <w:tcW w:w="7460" w:type="dxa"/>
            <w:shd w:val="clear" w:color="auto" w:fill="FFFFFF"/>
          </w:tcPr>
          <w:p w14:paraId="1E3E1250" w14:textId="7D8FB886" w:rsidR="008D3B15" w:rsidRPr="008D3B15" w:rsidRDefault="008D3B15" w:rsidP="008D3B15">
            <w:pPr>
              <w:pStyle w:val="TAL"/>
              <w:snapToGrid w:val="0"/>
              <w:rPr>
                <w:color w:val="FF0000"/>
              </w:rPr>
            </w:pPr>
            <w:r w:rsidRPr="008D3B15">
              <w:rPr>
                <w:color w:val="FF0000"/>
              </w:rPr>
              <w:t xml:space="preserve">Macro layer: </w:t>
            </w:r>
            <w:r>
              <w:rPr>
                <w:color w:val="FF0000"/>
              </w:rPr>
              <w:t>DL+</w:t>
            </w:r>
            <w:r>
              <w:rPr>
                <w:rFonts w:hint="eastAsia"/>
                <w:color w:val="FF0000"/>
              </w:rPr>
              <w:t>UL</w:t>
            </w:r>
            <w:r>
              <w:rPr>
                <w:color w:val="FF0000"/>
              </w:rPr>
              <w:t xml:space="preserve"> TRP</w:t>
            </w:r>
          </w:p>
          <w:p w14:paraId="5830A514" w14:textId="77777777" w:rsidR="008D3B15" w:rsidRDefault="008D3B15" w:rsidP="008D3B15">
            <w:pPr>
              <w:pStyle w:val="TAL"/>
              <w:snapToGrid w:val="0"/>
              <w:rPr>
                <w:color w:val="FF0000"/>
              </w:rPr>
            </w:pPr>
            <w:r w:rsidRPr="008D3B15">
              <w:rPr>
                <w:color w:val="FF0000"/>
              </w:rPr>
              <w:t xml:space="preserve">Micro layer: </w:t>
            </w:r>
            <w:r>
              <w:rPr>
                <w:color w:val="FF0000"/>
              </w:rPr>
              <w:t>UL-only TRP</w:t>
            </w:r>
          </w:p>
          <w:p w14:paraId="5D39CA07" w14:textId="77777777" w:rsidR="008D3B15" w:rsidRPr="007519AA" w:rsidRDefault="008D3B15" w:rsidP="008D3B15">
            <w:pPr>
              <w:pStyle w:val="TAL"/>
              <w:snapToGrid w:val="0"/>
              <w:rPr>
                <w:color w:val="FF0000"/>
              </w:rPr>
            </w:pPr>
            <w:r w:rsidRPr="007519AA">
              <w:rPr>
                <w:color w:val="FF0000"/>
              </w:rPr>
              <w:t>Around 4GHz and 7GHz: single TRP operation or coherent joint transmission</w:t>
            </w:r>
          </w:p>
          <w:p w14:paraId="54E3E52B" w14:textId="1548C12F" w:rsidR="008D3B15" w:rsidRPr="00721974" w:rsidRDefault="008D3B15" w:rsidP="008D3B15">
            <w:pPr>
              <w:pStyle w:val="TAL"/>
              <w:snapToGrid w:val="0"/>
              <w:rPr>
                <w:color w:val="FF0000"/>
              </w:rPr>
            </w:pPr>
            <w:r w:rsidRPr="007519AA">
              <w:rPr>
                <w:color w:val="FF0000"/>
              </w:rPr>
              <w:t>Around 30GHz or Around 70GHz: single TRP operation or non-coherent joint transmission</w:t>
            </w:r>
          </w:p>
        </w:tc>
      </w:tr>
    </w:tbl>
    <w:p w14:paraId="48A423DE" w14:textId="77777777" w:rsidR="007C2EE2" w:rsidRDefault="004A139E">
      <w:pPr>
        <w:pStyle w:val="2"/>
        <w:snapToGrid w:val="0"/>
        <w:spacing w:before="240"/>
        <w:ind w:left="1138" w:hanging="1138"/>
        <w:rPr>
          <w:rFonts w:ascii="Times New Roman" w:hAnsi="Times New Roman"/>
          <w:b/>
          <w:sz w:val="28"/>
          <w:lang w:val="en-US" w:eastAsia="zh-CN"/>
        </w:rPr>
      </w:pPr>
      <w:r>
        <w:rPr>
          <w:rFonts w:ascii="Times New Roman" w:hAnsi="Times New Roman"/>
          <w:b/>
          <w:sz w:val="28"/>
          <w:lang w:val="en-US" w:eastAsia="zh-CN"/>
        </w:rPr>
        <w:t xml:space="preserve">2.2 Multi-carrier based deployment scenario  </w:t>
      </w:r>
    </w:p>
    <w:p w14:paraId="5C00D69C" w14:textId="77777777" w:rsidR="007C2EE2" w:rsidRDefault="004A139E" w:rsidP="00721974">
      <w:pPr>
        <w:snapToGrid w:val="0"/>
        <w:spacing w:beforeLines="50" w:before="120" w:afterLines="50" w:after="120"/>
        <w:rPr>
          <w:rFonts w:ascii="Times New Roman" w:hAnsi="Times New Roman" w:cs="Times New Roman"/>
          <w:sz w:val="20"/>
          <w:lang w:val="en-GB"/>
        </w:rPr>
      </w:pPr>
      <w:r>
        <w:rPr>
          <w:rFonts w:ascii="Times New Roman" w:hAnsi="Times New Roman" w:cs="Times New Roman"/>
          <w:sz w:val="20"/>
          <w:lang w:val="en-GB"/>
        </w:rPr>
        <w:t>In some scenarios, compensating for the significant coverage gap between 3.5 GHz and 7 GHz via single-carrier operation can be highly challenging, especially for UL because of limited UE transmission power. Moreover, some single-carrier-based enhancements may remain optional, meaning 6G deployments in Day 1 cannot rely on these non-mandatory features. For operators with access to multiple spectrum bands, a practical solution is to leverage flexible spectrum utilization—combining high-frequency bands for capacity for cell-center UEs and low-frequency bands for coverage for cell-edge UEs.</w:t>
      </w:r>
    </w:p>
    <w:p w14:paraId="27360C25" w14:textId="370BD3F5" w:rsidR="007C2EE2" w:rsidRDefault="004A139E" w:rsidP="00721974">
      <w:pPr>
        <w:snapToGrid w:val="0"/>
        <w:spacing w:beforeLines="50" w:before="120" w:afterLines="50" w:after="120"/>
        <w:rPr>
          <w:rFonts w:ascii="Times New Roman" w:hAnsi="Times New Roman" w:cs="Times New Roman"/>
          <w:sz w:val="20"/>
          <w:lang w:val="en-GB"/>
        </w:rPr>
      </w:pPr>
      <w:r>
        <w:rPr>
          <w:rFonts w:ascii="Times New Roman" w:hAnsi="Times New Roman" w:cs="Times New Roman"/>
          <w:sz w:val="20"/>
          <w:lang w:val="en-GB"/>
        </w:rPr>
        <w:t xml:space="preserve">In Figure </w:t>
      </w:r>
      <w:r>
        <w:rPr>
          <w:rFonts w:ascii="Times New Roman" w:hAnsi="Times New Roman" w:cs="Times New Roman" w:hint="eastAsia"/>
          <w:sz w:val="20"/>
        </w:rPr>
        <w:t>9</w:t>
      </w:r>
      <w:r>
        <w:rPr>
          <w:rFonts w:ascii="Times New Roman" w:hAnsi="Times New Roman" w:cs="Times New Roman"/>
          <w:sz w:val="20"/>
          <w:lang w:val="en-GB"/>
        </w:rPr>
        <w:t xml:space="preserve">, it presents a comparison of ‘UE distance -UL throughput’ among different frequency bands. It can be observed that the UE at lower frequency band typically have better UL throughput when the UE distance to base station is larger than 100 meters. </w:t>
      </w:r>
    </w:p>
    <w:p w14:paraId="5F7CA960" w14:textId="77777777" w:rsidR="007C2EE2" w:rsidRDefault="004A139E" w:rsidP="000C735E">
      <w:pPr>
        <w:snapToGrid w:val="0"/>
        <w:spacing w:before="120"/>
        <w:jc w:val="center"/>
      </w:pPr>
      <w:r>
        <w:rPr>
          <w:noProof/>
        </w:rPr>
        <w:drawing>
          <wp:inline distT="0" distB="0" distL="0" distR="0" wp14:anchorId="648013DC" wp14:editId="2086CD12">
            <wp:extent cx="6070600" cy="3154045"/>
            <wp:effectExtent l="0" t="0" r="6350" b="825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C7AC215" w14:textId="5BCF1CA5" w:rsidR="007C2EE2" w:rsidRDefault="004A139E">
      <w:pPr>
        <w:snapToGrid w:val="0"/>
        <w:spacing w:before="120" w:afterLines="50" w:after="120"/>
        <w:jc w:val="center"/>
        <w:rPr>
          <w:rFonts w:ascii="Times New Roman" w:hAnsi="Times New Roman" w:cs="Times New Roman"/>
          <w:sz w:val="18"/>
          <w:szCs w:val="18"/>
        </w:rPr>
      </w:pPr>
      <w:r>
        <w:rPr>
          <w:rFonts w:ascii="Times New Roman" w:eastAsia="微软雅黑" w:hAnsi="Times New Roman" w:cs="Times New Roman"/>
          <w:b/>
          <w:bCs/>
          <w:sz w:val="18"/>
          <w:szCs w:val="18"/>
        </w:rPr>
        <w:t xml:space="preserve">Figure </w:t>
      </w:r>
      <w:r>
        <w:rPr>
          <w:rFonts w:ascii="Times New Roman" w:eastAsia="微软雅黑" w:hAnsi="Times New Roman" w:cs="Times New Roman" w:hint="eastAsia"/>
          <w:b/>
          <w:bCs/>
          <w:sz w:val="18"/>
          <w:szCs w:val="18"/>
        </w:rPr>
        <w:t>9</w:t>
      </w:r>
      <w:r>
        <w:rPr>
          <w:rFonts w:ascii="Times New Roman" w:eastAsia="Times New Roman" w:hAnsi="Times New Roman" w:cs="Times New Roman"/>
          <w:sz w:val="18"/>
          <w:szCs w:val="18"/>
        </w:rPr>
        <w:t xml:space="preserve"> Comparison of ‘UE distance - UL throughput’ in different frequency bands</w:t>
      </w:r>
    </w:p>
    <w:p w14:paraId="1C748349" w14:textId="77777777" w:rsidR="007C2EE2" w:rsidRDefault="004A139E" w:rsidP="00721974">
      <w:pPr>
        <w:snapToGrid w:val="0"/>
        <w:spacing w:beforeLines="50" w:before="120" w:afterLines="50" w:after="120"/>
        <w:rPr>
          <w:rFonts w:ascii="Times New Roman" w:hAnsi="Times New Roman" w:cs="Times New Roman"/>
          <w:sz w:val="20"/>
          <w:lang w:val="en-GB"/>
        </w:rPr>
      </w:pPr>
      <w:r>
        <w:rPr>
          <w:rFonts w:ascii="Times New Roman" w:hAnsi="Times New Roman" w:cs="Times New Roman"/>
          <w:sz w:val="20"/>
          <w:lang w:val="en-GB"/>
        </w:rPr>
        <w:t xml:space="preserve">In 5G, carrier aggregation (CA) is supported to </w:t>
      </w:r>
      <w:r>
        <w:rPr>
          <w:rFonts w:ascii="Times New Roman" w:hAnsi="Times New Roman" w:cs="Times New Roman" w:hint="eastAsia"/>
          <w:sz w:val="20"/>
          <w:lang w:val="en-GB"/>
        </w:rPr>
        <w:t>aggreg</w:t>
      </w:r>
      <w:r>
        <w:rPr>
          <w:rFonts w:ascii="Times New Roman" w:hAnsi="Times New Roman" w:cs="Times New Roman"/>
          <w:sz w:val="20"/>
          <w:lang w:val="en-GB"/>
        </w:rPr>
        <w:t>a</w:t>
      </w:r>
      <w:r>
        <w:rPr>
          <w:rFonts w:ascii="Times New Roman" w:hAnsi="Times New Roman" w:cs="Times New Roman" w:hint="eastAsia"/>
          <w:sz w:val="20"/>
          <w:lang w:val="en-GB"/>
        </w:rPr>
        <w:t>te</w:t>
      </w:r>
      <w:r>
        <w:rPr>
          <w:rFonts w:ascii="Times New Roman" w:hAnsi="Times New Roman" w:cs="Times New Roman"/>
          <w:sz w:val="20"/>
          <w:lang w:val="en-GB"/>
        </w:rPr>
        <w:t xml:space="preserve"> different frequency carriers for a UE. In TR 38.913, multi-carrier based deployment scenario is supported, e.g., in dense urban scenario. </w:t>
      </w:r>
    </w:p>
    <w:tbl>
      <w:tblPr>
        <w:tblStyle w:val="afb"/>
        <w:tblW w:w="0" w:type="auto"/>
        <w:tblLook w:val="04A0" w:firstRow="1" w:lastRow="0" w:firstColumn="1" w:lastColumn="0" w:noHBand="0" w:noVBand="1"/>
      </w:tblPr>
      <w:tblGrid>
        <w:gridCol w:w="9629"/>
      </w:tblGrid>
      <w:tr w:rsidR="007C2EE2" w14:paraId="73AA1B3E" w14:textId="77777777">
        <w:tc>
          <w:tcPr>
            <w:tcW w:w="9855" w:type="dxa"/>
          </w:tcPr>
          <w:p w14:paraId="3CDD5153"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Table 6.1.2-1: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7439"/>
            </w:tblGrid>
            <w:tr w:rsidR="007C2EE2" w14:paraId="4798F701" w14:textId="77777777">
              <w:trPr>
                <w:trHeight w:val="177"/>
              </w:trPr>
              <w:tc>
                <w:tcPr>
                  <w:tcW w:w="1863" w:type="dxa"/>
                  <w:tcBorders>
                    <w:top w:val="single" w:sz="4" w:space="0" w:color="auto"/>
                    <w:left w:val="single" w:sz="4" w:space="0" w:color="auto"/>
                    <w:bottom w:val="single" w:sz="4" w:space="0" w:color="auto"/>
                    <w:right w:val="single" w:sz="4" w:space="0" w:color="auto"/>
                  </w:tcBorders>
                </w:tcPr>
                <w:p w14:paraId="1185B3C6"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Attributes</w:t>
                  </w:r>
                </w:p>
              </w:tc>
              <w:tc>
                <w:tcPr>
                  <w:tcW w:w="7493" w:type="dxa"/>
                  <w:tcBorders>
                    <w:top w:val="single" w:sz="4" w:space="0" w:color="auto"/>
                    <w:left w:val="single" w:sz="4" w:space="0" w:color="auto"/>
                    <w:bottom w:val="single" w:sz="4" w:space="0" w:color="auto"/>
                    <w:right w:val="single" w:sz="4" w:space="0" w:color="auto"/>
                  </w:tcBorders>
                </w:tcPr>
                <w:p w14:paraId="514E6581"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Values or assumptions</w:t>
                  </w:r>
                </w:p>
              </w:tc>
            </w:tr>
            <w:tr w:rsidR="007C2EE2" w14:paraId="540A0068" w14:textId="77777777">
              <w:tc>
                <w:tcPr>
                  <w:tcW w:w="1863" w:type="dxa"/>
                  <w:tcBorders>
                    <w:top w:val="single" w:sz="4" w:space="0" w:color="auto"/>
                    <w:left w:val="single" w:sz="4" w:space="0" w:color="auto"/>
                    <w:bottom w:val="single" w:sz="4" w:space="0" w:color="auto"/>
                    <w:right w:val="single" w:sz="4" w:space="0" w:color="auto"/>
                  </w:tcBorders>
                  <w:shd w:val="clear" w:color="auto" w:fill="FFFFFF"/>
                </w:tcPr>
                <w:p w14:paraId="5248C5D7"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Carrier Frequency</w:t>
                  </w:r>
                </w:p>
                <w:p w14:paraId="4CDAB933"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NOTE1</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7DFFA92C" w14:textId="77777777" w:rsidR="007C2EE2" w:rsidRDefault="004A139E" w:rsidP="00721974">
                  <w:pPr>
                    <w:snapToGrid w:val="0"/>
                    <w:spacing w:before="120"/>
                    <w:jc w:val="center"/>
                    <w:rPr>
                      <w:rFonts w:ascii="Times New Roman" w:eastAsia="宋体" w:hAnsi="Times New Roman" w:cs="Times New Roman"/>
                      <w:sz w:val="18"/>
                      <w:szCs w:val="18"/>
                    </w:rPr>
                  </w:pPr>
                  <w:r>
                    <w:rPr>
                      <w:rFonts w:ascii="Times New Roman" w:hAnsi="Times New Roman" w:cs="Times New Roman"/>
                      <w:sz w:val="18"/>
                      <w:szCs w:val="18"/>
                    </w:rPr>
                    <w:t>Around 4GHz + Around 30GHz (two layers)</w:t>
                  </w:r>
                </w:p>
              </w:tc>
            </w:tr>
            <w:tr w:rsidR="007C2EE2" w14:paraId="7D998627" w14:textId="77777777">
              <w:tc>
                <w:tcPr>
                  <w:tcW w:w="1863" w:type="dxa"/>
                  <w:tcBorders>
                    <w:top w:val="single" w:sz="4" w:space="0" w:color="auto"/>
                    <w:left w:val="single" w:sz="4" w:space="0" w:color="auto"/>
                    <w:bottom w:val="single" w:sz="4" w:space="0" w:color="auto"/>
                    <w:right w:val="single" w:sz="4" w:space="0" w:color="auto"/>
                  </w:tcBorders>
                  <w:shd w:val="clear" w:color="auto" w:fill="FFFFFF"/>
                </w:tcPr>
                <w:p w14:paraId="1EBE86B3"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Aggregated system bandwidth</w:t>
                  </w:r>
                </w:p>
                <w:p w14:paraId="0E42509B"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NOTE2</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211AFA0A" w14:textId="77777777" w:rsidR="007C2EE2" w:rsidRDefault="004A139E" w:rsidP="00721974">
                  <w:pPr>
                    <w:snapToGrid w:val="0"/>
                    <w:spacing w:before="120"/>
                    <w:jc w:val="center"/>
                    <w:rPr>
                      <w:rFonts w:ascii="Times New Roman" w:eastAsia="宋体" w:hAnsi="Times New Roman" w:cs="Times New Roman"/>
                      <w:sz w:val="18"/>
                      <w:szCs w:val="18"/>
                    </w:rPr>
                  </w:pPr>
                  <w:r>
                    <w:rPr>
                      <w:rFonts w:ascii="Times New Roman" w:eastAsia="宋体" w:hAnsi="Times New Roman" w:cs="Times New Roman"/>
                      <w:sz w:val="18"/>
                      <w:szCs w:val="18"/>
                    </w:rPr>
                    <w:t xml:space="preserve">Around </w:t>
                  </w:r>
                  <w:r>
                    <w:rPr>
                      <w:rFonts w:ascii="Times New Roman" w:hAnsi="Times New Roman" w:cs="Times New Roman"/>
                      <w:sz w:val="18"/>
                      <w:szCs w:val="18"/>
                    </w:rPr>
                    <w:t xml:space="preserve">30GHz: </w:t>
                  </w:r>
                  <w:r>
                    <w:rPr>
                      <w:rFonts w:ascii="Times New Roman" w:eastAsia="宋体" w:hAnsi="Times New Roman" w:cs="Times New Roman"/>
                      <w:sz w:val="18"/>
                      <w:szCs w:val="18"/>
                    </w:rPr>
                    <w:t>Up to</w:t>
                  </w:r>
                  <w:r>
                    <w:rPr>
                      <w:rFonts w:ascii="Times New Roman" w:hAnsi="Times New Roman" w:cs="Times New Roman"/>
                      <w:sz w:val="18"/>
                      <w:szCs w:val="18"/>
                    </w:rPr>
                    <w:t>1GHz (DL+UL)</w:t>
                  </w:r>
                </w:p>
                <w:p w14:paraId="22F72029" w14:textId="77777777" w:rsidR="007C2EE2" w:rsidRDefault="004A139E" w:rsidP="00721974">
                  <w:pPr>
                    <w:snapToGrid w:val="0"/>
                    <w:spacing w:before="120"/>
                    <w:jc w:val="center"/>
                    <w:rPr>
                      <w:rFonts w:ascii="Times New Roman" w:eastAsia="宋体" w:hAnsi="Times New Roman" w:cs="Times New Roman"/>
                      <w:sz w:val="18"/>
                      <w:szCs w:val="18"/>
                    </w:rPr>
                  </w:pPr>
                  <w:r>
                    <w:rPr>
                      <w:rFonts w:ascii="Times New Roman" w:eastAsia="宋体" w:hAnsi="Times New Roman" w:cs="Times New Roman"/>
                      <w:sz w:val="18"/>
                      <w:szCs w:val="18"/>
                    </w:rPr>
                    <w:t xml:space="preserve">Around </w:t>
                  </w:r>
                  <w:r>
                    <w:rPr>
                      <w:rFonts w:ascii="Times New Roman" w:hAnsi="Times New Roman" w:cs="Times New Roman"/>
                      <w:sz w:val="18"/>
                      <w:szCs w:val="18"/>
                    </w:rPr>
                    <w:t xml:space="preserve">4GHz: </w:t>
                  </w:r>
                  <w:r>
                    <w:rPr>
                      <w:rFonts w:ascii="Times New Roman" w:eastAsia="宋体" w:hAnsi="Times New Roman" w:cs="Times New Roman"/>
                      <w:sz w:val="18"/>
                      <w:szCs w:val="18"/>
                    </w:rPr>
                    <w:t xml:space="preserve">Up to </w:t>
                  </w:r>
                  <w:r>
                    <w:rPr>
                      <w:rFonts w:ascii="Times New Roman" w:hAnsi="Times New Roman" w:cs="Times New Roman"/>
                      <w:sz w:val="18"/>
                      <w:szCs w:val="18"/>
                    </w:rPr>
                    <w:t>200MHz (DL+UL)</w:t>
                  </w:r>
                </w:p>
              </w:tc>
            </w:tr>
            <w:tr w:rsidR="007C2EE2" w14:paraId="6E3D2DDC" w14:textId="77777777">
              <w:tc>
                <w:tcPr>
                  <w:tcW w:w="1863" w:type="dxa"/>
                  <w:tcBorders>
                    <w:top w:val="single" w:sz="4" w:space="0" w:color="auto"/>
                    <w:left w:val="single" w:sz="4" w:space="0" w:color="auto"/>
                    <w:bottom w:val="single" w:sz="4" w:space="0" w:color="auto"/>
                    <w:right w:val="single" w:sz="4" w:space="0" w:color="auto"/>
                  </w:tcBorders>
                  <w:shd w:val="clear" w:color="auto" w:fill="FFFFFF"/>
                </w:tcPr>
                <w:p w14:paraId="05BC8E64"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Layout</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2DAF4E7F"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Two layers: Het</w:t>
                  </w:r>
                </w:p>
                <w:p w14:paraId="39633282"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 Macro layer: Hex. Grid</w:t>
                  </w:r>
                </w:p>
                <w:p w14:paraId="2D956CEF"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lastRenderedPageBreak/>
                    <w:t>- Micro layer: Random drop</w:t>
                  </w:r>
                </w:p>
                <w:p w14:paraId="5880E025"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Step 1 NOTE3: Around 4GHz in Macro layer</w:t>
                  </w:r>
                </w:p>
                <w:p w14:paraId="6323C4AE" w14:textId="77777777" w:rsidR="007C2EE2" w:rsidRDefault="004A139E" w:rsidP="00721974">
                  <w:pPr>
                    <w:snapToGrid w:val="0"/>
                    <w:spacing w:before="120"/>
                    <w:jc w:val="center"/>
                    <w:rPr>
                      <w:rFonts w:ascii="Times New Roman" w:eastAsia="宋体" w:hAnsi="Times New Roman" w:cs="Times New Roman"/>
                      <w:sz w:val="18"/>
                      <w:szCs w:val="18"/>
                    </w:rPr>
                  </w:pPr>
                  <w:r>
                    <w:rPr>
                      <w:rFonts w:ascii="Times New Roman" w:hAnsi="Times New Roman" w:cs="Times New Roman"/>
                      <w:sz w:val="18"/>
                      <w:szCs w:val="18"/>
                    </w:rPr>
                    <w:t>Step 2 NOTE3: Both Around 4GHz &amp; Around 30GHz may be available in Macro &amp; Micro layers (including 1 macro layer, macro cell only)</w:t>
                  </w:r>
                </w:p>
              </w:tc>
            </w:tr>
            <w:tr w:rsidR="007C2EE2" w14:paraId="4CE47B66" w14:textId="77777777">
              <w:tc>
                <w:tcPr>
                  <w:tcW w:w="1863" w:type="dxa"/>
                  <w:tcBorders>
                    <w:top w:val="single" w:sz="4" w:space="0" w:color="auto"/>
                    <w:left w:val="single" w:sz="4" w:space="0" w:color="auto"/>
                    <w:bottom w:val="single" w:sz="4" w:space="0" w:color="auto"/>
                    <w:right w:val="single" w:sz="4" w:space="0" w:color="auto"/>
                  </w:tcBorders>
                  <w:shd w:val="clear" w:color="auto" w:fill="FFFFFF"/>
                </w:tcPr>
                <w:p w14:paraId="3C154B48"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lastRenderedPageBreak/>
                    <w:t>…</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17F5D476" w14:textId="77777777" w:rsidR="007C2EE2" w:rsidRDefault="004A139E" w:rsidP="00721974">
                  <w:pPr>
                    <w:snapToGrid w:val="0"/>
                    <w:spacing w:before="120"/>
                    <w:jc w:val="center"/>
                    <w:rPr>
                      <w:rFonts w:ascii="Times New Roman" w:hAnsi="Times New Roman" w:cs="Times New Roman"/>
                      <w:sz w:val="18"/>
                      <w:szCs w:val="18"/>
                    </w:rPr>
                  </w:pPr>
                  <w:r>
                    <w:rPr>
                      <w:rFonts w:ascii="Times New Roman" w:hAnsi="Times New Roman" w:cs="Times New Roman"/>
                      <w:sz w:val="18"/>
                      <w:szCs w:val="18"/>
                    </w:rPr>
                    <w:t>…</w:t>
                  </w:r>
                </w:p>
              </w:tc>
            </w:tr>
          </w:tbl>
          <w:p w14:paraId="745ECB4C" w14:textId="77777777" w:rsidR="007C2EE2" w:rsidRDefault="007C2EE2" w:rsidP="000C735E">
            <w:pPr>
              <w:snapToGrid w:val="0"/>
              <w:spacing w:before="120"/>
            </w:pPr>
          </w:p>
        </w:tc>
      </w:tr>
    </w:tbl>
    <w:p w14:paraId="5FE40472" w14:textId="338ABA16" w:rsidR="007C2EE2" w:rsidRDefault="004A139E" w:rsidP="00721974">
      <w:pPr>
        <w:snapToGrid w:val="0"/>
        <w:spacing w:beforeLines="50" w:before="120" w:afterLines="50" w:after="120"/>
        <w:rPr>
          <w:rFonts w:ascii="Times New Roman" w:hAnsi="Times New Roman" w:cs="Times New Roman"/>
          <w:sz w:val="20"/>
          <w:lang w:val="en-GB"/>
        </w:rPr>
      </w:pPr>
      <w:r>
        <w:rPr>
          <w:rFonts w:ascii="Times New Roman" w:hAnsi="Times New Roman" w:cs="Times New Roman"/>
          <w:sz w:val="20"/>
          <w:lang w:val="en-GB"/>
        </w:rPr>
        <w:lastRenderedPageBreak/>
        <w:t>In 5G, CA is an optional feature requiring a UE to simultaneously receive and transmit among the multiple aggregated carriers. This leads to CA is not widely commercialized in early 5G deployment. In 6G, more flexible spectrum utilization meanwhile with minimal UE complexity should be considered, e.g., carrier-switch based operation. Therefore, multi-</w:t>
      </w:r>
      <w:r w:rsidR="00051554">
        <w:rPr>
          <w:rFonts w:ascii="Times New Roman" w:hAnsi="Times New Roman" w:cs="Times New Roman"/>
          <w:sz w:val="20"/>
          <w:lang w:val="en-GB"/>
        </w:rPr>
        <w:t>carrier</w:t>
      </w:r>
      <w:r>
        <w:rPr>
          <w:rFonts w:ascii="Times New Roman" w:hAnsi="Times New Roman" w:cs="Times New Roman"/>
          <w:sz w:val="20"/>
          <w:lang w:val="en-GB"/>
        </w:rPr>
        <w:t xml:space="preserve"> based deployment scenario should be supported for 6G with taking flexible spectrum utilization and minimal UE complexity into account. </w:t>
      </w:r>
    </w:p>
    <w:p w14:paraId="498B6B0C" w14:textId="499CB01D" w:rsidR="007C2EE2" w:rsidRDefault="004A139E">
      <w:p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b/>
          <w:i/>
          <w:sz w:val="20"/>
          <w:szCs w:val="20"/>
          <w:u w:val="single"/>
        </w:rPr>
        <w:t xml:space="preserve">Proposal </w:t>
      </w:r>
      <w:r w:rsidR="00816BE1">
        <w:rPr>
          <w:rFonts w:ascii="Times New Roman" w:hAnsi="Times New Roman" w:cs="Times New Roman"/>
          <w:b/>
          <w:i/>
          <w:sz w:val="20"/>
          <w:szCs w:val="20"/>
          <w:u w:val="single"/>
        </w:rPr>
        <w:t>3</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To achieve </w:t>
      </w:r>
      <w:r>
        <w:rPr>
          <w:rFonts w:ascii="Times New Roman" w:hAnsi="Times New Roman" w:cs="Times New Roman"/>
          <w:i/>
          <w:sz w:val="20"/>
          <w:szCs w:val="20"/>
        </w:rPr>
        <w:t>comparable UL</w:t>
      </w:r>
      <w:r>
        <w:rPr>
          <w:rFonts w:ascii="Times New Roman" w:hAnsi="Times New Roman" w:cs="Times New Roman" w:hint="eastAsia"/>
          <w:i/>
          <w:sz w:val="20"/>
          <w:szCs w:val="20"/>
        </w:rPr>
        <w:t xml:space="preserve"> coverage </w:t>
      </w:r>
      <w:r>
        <w:rPr>
          <w:rFonts w:ascii="Times New Roman" w:hAnsi="Times New Roman" w:cs="Times New Roman"/>
          <w:i/>
          <w:sz w:val="20"/>
          <w:szCs w:val="20"/>
        </w:rPr>
        <w:t xml:space="preserve">and better capacity </w:t>
      </w:r>
      <w:r>
        <w:rPr>
          <w:rFonts w:ascii="Times New Roman" w:hAnsi="Times New Roman" w:cs="Times New Roman" w:hint="eastAsia"/>
          <w:i/>
          <w:sz w:val="20"/>
          <w:szCs w:val="20"/>
        </w:rPr>
        <w:t xml:space="preserve">in 6G deployment scenarios, especially </w:t>
      </w:r>
      <w:r>
        <w:rPr>
          <w:rFonts w:ascii="Times New Roman" w:hAnsi="Times New Roman" w:cs="Times New Roman"/>
          <w:i/>
          <w:sz w:val="20"/>
          <w:szCs w:val="20"/>
        </w:rPr>
        <w:t xml:space="preserve">around </w:t>
      </w:r>
      <w:r>
        <w:rPr>
          <w:rFonts w:ascii="Times New Roman" w:hAnsi="Times New Roman" w:cs="Times New Roman" w:hint="eastAsia"/>
          <w:i/>
          <w:sz w:val="20"/>
          <w:szCs w:val="20"/>
        </w:rPr>
        <w:t xml:space="preserve">7GHz, </w:t>
      </w:r>
      <w:r>
        <w:rPr>
          <w:rFonts w:ascii="Times New Roman" w:hAnsi="Times New Roman" w:cs="Times New Roman"/>
          <w:i/>
          <w:sz w:val="20"/>
          <w:szCs w:val="20"/>
        </w:rPr>
        <w:t>support multi-</w:t>
      </w:r>
      <w:r w:rsidR="00051554">
        <w:rPr>
          <w:rFonts w:ascii="Times New Roman" w:hAnsi="Times New Roman" w:cs="Times New Roman"/>
          <w:i/>
          <w:sz w:val="20"/>
          <w:szCs w:val="20"/>
        </w:rPr>
        <w:t>carrier</w:t>
      </w:r>
      <w:r>
        <w:rPr>
          <w:rFonts w:ascii="Times New Roman" w:hAnsi="Times New Roman" w:cs="Times New Roman"/>
          <w:i/>
          <w:sz w:val="20"/>
          <w:szCs w:val="20"/>
        </w:rPr>
        <w:t xml:space="preserve"> based deployment scenario for 6G with taking flexible spectrum utilization and minimal UE complexity into account. </w:t>
      </w:r>
    </w:p>
    <w:p w14:paraId="049678D7" w14:textId="77777777" w:rsidR="007C2EE2" w:rsidRDefault="007C2EE2">
      <w:pPr>
        <w:snapToGrid w:val="0"/>
        <w:spacing w:before="120" w:afterLines="50" w:after="120"/>
        <w:textAlignment w:val="center"/>
        <w:rPr>
          <w:rFonts w:ascii="Times New Roman" w:hAnsi="Times New Roman" w:cs="Times New Roman"/>
          <w:i/>
          <w:sz w:val="20"/>
          <w:szCs w:val="20"/>
        </w:rPr>
      </w:pPr>
    </w:p>
    <w:p w14:paraId="1BA67C8A" w14:textId="77777777" w:rsidR="007C2EE2" w:rsidRDefault="004A139E">
      <w:pPr>
        <w:pStyle w:val="1"/>
        <w:numPr>
          <w:ilvl w:val="0"/>
          <w:numId w:val="7"/>
        </w:numPr>
        <w:snapToGrid w:val="0"/>
        <w:spacing w:before="120" w:line="276" w:lineRule="auto"/>
        <w:rPr>
          <w:rFonts w:ascii="Times New Roman" w:hAnsi="Times New Roman"/>
          <w:b/>
          <w:lang w:val="en-US" w:eastAsia="zh-CN"/>
        </w:rPr>
      </w:pPr>
      <w:r>
        <w:rPr>
          <w:rFonts w:ascii="Times New Roman" w:hAnsi="Times New Roman" w:hint="eastAsia"/>
          <w:b/>
          <w:lang w:val="en-US" w:eastAsia="zh-CN"/>
        </w:rPr>
        <w:t>Conclusion</w:t>
      </w:r>
    </w:p>
    <w:p w14:paraId="5D0488F5" w14:textId="77777777" w:rsidR="007C2EE2" w:rsidRDefault="004A139E">
      <w:pPr>
        <w:snapToGrid w:val="0"/>
        <w:spacing w:beforeLines="50" w:before="120" w:afterLines="50" w:after="120" w:line="276" w:lineRule="auto"/>
        <w:rPr>
          <w:rFonts w:ascii="Times New Roman" w:hAnsi="Times New Roman" w:cs="Times New Roman"/>
          <w:sz w:val="20"/>
          <w:lang w:val="en-GB"/>
        </w:rPr>
      </w:pPr>
      <w:r>
        <w:rPr>
          <w:rFonts w:ascii="Times New Roman" w:hAnsi="Times New Roman" w:cs="Times New Roman" w:hint="eastAsia"/>
          <w:sz w:val="20"/>
          <w:lang w:val="en-GB"/>
        </w:rPr>
        <w:t>I</w:t>
      </w:r>
      <w:r>
        <w:rPr>
          <w:rFonts w:ascii="Times New Roman" w:hAnsi="Times New Roman" w:cs="Times New Roman"/>
          <w:sz w:val="20"/>
          <w:lang w:val="en-GB"/>
        </w:rPr>
        <w:t>n this contribution, we elaborate</w:t>
      </w:r>
      <w:r>
        <w:rPr>
          <w:rFonts w:ascii="Times New Roman" w:hAnsi="Times New Roman" w:cs="Times New Roman" w:hint="eastAsia"/>
          <w:sz w:val="20"/>
          <w:lang w:val="en-GB"/>
        </w:rPr>
        <w:t xml:space="preserve"> our general views on 6G deployment scenarios, based on the analysis from coverage and </w:t>
      </w:r>
      <w:r>
        <w:rPr>
          <w:rFonts w:ascii="Times New Roman" w:hAnsi="Times New Roman" w:cs="Times New Roman"/>
          <w:sz w:val="20"/>
          <w:lang w:val="en-GB"/>
        </w:rPr>
        <w:t>cell-edge performance</w:t>
      </w:r>
      <w:r>
        <w:rPr>
          <w:rFonts w:ascii="Times New Roman" w:hAnsi="Times New Roman" w:cs="Times New Roman" w:hint="eastAsia"/>
          <w:sz w:val="20"/>
          <w:lang w:val="en-GB"/>
        </w:rPr>
        <w:t xml:space="preserve"> perspective. We have the following proposals:</w:t>
      </w:r>
    </w:p>
    <w:p w14:paraId="6E566B10" w14:textId="1B1D1796" w:rsidR="00E12E7C" w:rsidRDefault="00E12E7C" w:rsidP="00E12E7C">
      <w:p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1</w:t>
      </w:r>
      <w:r>
        <w:rPr>
          <w:rFonts w:ascii="Times New Roman" w:hAnsi="Times New Roman" w:cs="Times New Roman"/>
          <w:b/>
          <w:i/>
          <w:sz w:val="20"/>
          <w:szCs w:val="20"/>
        </w:rPr>
        <w:t xml:space="preserve">: </w:t>
      </w:r>
      <w:r>
        <w:rPr>
          <w:rFonts w:ascii="Times New Roman" w:hAnsi="Times New Roman" w:cs="Times New Roman"/>
          <w:i/>
          <w:sz w:val="20"/>
          <w:szCs w:val="20"/>
        </w:rPr>
        <w:t xml:space="preserve">To ensure overall coverage, focus on cell-edge performance and UL coverage (especially for co-site deployment of around 7GHz), large antenna array with more than 1024 </w:t>
      </w:r>
      <w:r w:rsidR="009F1CED">
        <w:rPr>
          <w:rFonts w:ascii="Times New Roman" w:hAnsi="Times New Roman" w:cs="Times New Roman"/>
          <w:i/>
          <w:sz w:val="20"/>
          <w:szCs w:val="20"/>
        </w:rPr>
        <w:t>BS</w:t>
      </w:r>
      <w:r w:rsidR="009F1CED">
        <w:rPr>
          <w:rFonts w:ascii="Times New Roman" w:hAnsi="Times New Roman" w:cs="Times New Roman"/>
          <w:i/>
          <w:sz w:val="20"/>
          <w:szCs w:val="20"/>
        </w:rPr>
        <w:t xml:space="preserve"> </w:t>
      </w:r>
      <w:r>
        <w:rPr>
          <w:rFonts w:ascii="Times New Roman" w:hAnsi="Times New Roman" w:cs="Times New Roman"/>
          <w:i/>
          <w:sz w:val="20"/>
          <w:szCs w:val="20"/>
        </w:rPr>
        <w:t xml:space="preserve">antenna elements (e.g. up to 1536 or 2048 antenna elements) and 8 or more </w:t>
      </w:r>
      <w:r w:rsidRPr="003C15B8">
        <w:rPr>
          <w:rFonts w:ascii="Times New Roman" w:hAnsi="Times New Roman" w:cs="Times New Roman"/>
          <w:i/>
          <w:sz w:val="20"/>
          <w:szCs w:val="20"/>
        </w:rPr>
        <w:t>Tx and Rx</w:t>
      </w:r>
      <w:r w:rsidR="009F1CED">
        <w:rPr>
          <w:rFonts w:ascii="Times New Roman" w:hAnsi="Times New Roman" w:cs="Times New Roman"/>
          <w:i/>
          <w:sz w:val="20"/>
          <w:szCs w:val="20"/>
        </w:rPr>
        <w:t xml:space="preserve"> UE</w:t>
      </w:r>
      <w:r w:rsidRPr="003C15B8">
        <w:rPr>
          <w:rFonts w:ascii="Times New Roman" w:hAnsi="Times New Roman" w:cs="Times New Roman"/>
          <w:i/>
          <w:sz w:val="20"/>
          <w:szCs w:val="20"/>
        </w:rPr>
        <w:t xml:space="preserve"> antenna elements</w:t>
      </w:r>
      <w:r>
        <w:rPr>
          <w:rFonts w:ascii="Times New Roman" w:hAnsi="Times New Roman" w:cs="Times New Roman"/>
          <w:i/>
          <w:sz w:val="20"/>
          <w:szCs w:val="20"/>
        </w:rPr>
        <w:t xml:space="preserve"> (e.g., up to 16) should be considered.</w:t>
      </w:r>
    </w:p>
    <w:p w14:paraId="04564518" w14:textId="77777777" w:rsidR="00E12E7C" w:rsidRPr="003C15B8" w:rsidRDefault="00E12E7C" w:rsidP="00E12E7C">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Indoor hotspot</w:t>
      </w:r>
    </w:p>
    <w:p w14:paraId="7CA55BFE" w14:textId="77777777" w:rsidR="00E12E7C" w:rsidRPr="003C15B8" w:rsidRDefault="00E12E7C" w:rsidP="00E12E7C">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Dense urban</w:t>
      </w:r>
    </w:p>
    <w:p w14:paraId="6EC71AE7" w14:textId="77777777" w:rsidR="00E12E7C" w:rsidRPr="003C15B8" w:rsidRDefault="00E12E7C" w:rsidP="00E12E7C">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Rural</w:t>
      </w:r>
    </w:p>
    <w:p w14:paraId="67600507" w14:textId="77777777" w:rsidR="00E12E7C" w:rsidRDefault="00E12E7C" w:rsidP="00E12E7C">
      <w:pPr>
        <w:pStyle w:val="aff3"/>
        <w:numPr>
          <w:ilvl w:val="0"/>
          <w:numId w:val="10"/>
        </w:numPr>
        <w:snapToGrid w:val="0"/>
        <w:spacing w:before="120" w:afterLines="50" w:after="120"/>
        <w:textAlignment w:val="center"/>
        <w:rPr>
          <w:rFonts w:ascii="Times New Roman" w:hAnsi="Times New Roman" w:cs="Times New Roman"/>
          <w:i/>
          <w:sz w:val="20"/>
          <w:szCs w:val="20"/>
        </w:rPr>
      </w:pPr>
      <w:r w:rsidRPr="003C15B8">
        <w:rPr>
          <w:rFonts w:ascii="Times New Roman" w:hAnsi="Times New Roman" w:cs="Times New Roman"/>
          <w:i/>
          <w:sz w:val="20"/>
          <w:szCs w:val="20"/>
        </w:rPr>
        <w:t>Urban Macro</w:t>
      </w:r>
    </w:p>
    <w:p w14:paraId="2594FB56" w14:textId="54E862BA" w:rsidR="004A6826" w:rsidRPr="0031665E" w:rsidRDefault="004A6826" w:rsidP="002B567D">
      <w:p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w:t>
      </w:r>
      <w:r>
        <w:rPr>
          <w:rFonts w:ascii="Times New Roman" w:hAnsi="Times New Roman" w:cs="Times New Roman"/>
          <w:b/>
          <w:i/>
          <w:sz w:val="20"/>
          <w:szCs w:val="20"/>
          <w:u w:val="single"/>
        </w:rPr>
        <w:t>2</w:t>
      </w:r>
      <w:r>
        <w:rPr>
          <w:rFonts w:ascii="Times New Roman" w:hAnsi="Times New Roman" w:cs="Times New Roman"/>
          <w:b/>
          <w:i/>
          <w:sz w:val="20"/>
          <w:szCs w:val="20"/>
        </w:rPr>
        <w:t xml:space="preserve">: </w:t>
      </w:r>
      <w:r>
        <w:rPr>
          <w:rFonts w:ascii="Times New Roman" w:hAnsi="Times New Roman" w:cs="Times New Roman"/>
          <w:i/>
          <w:sz w:val="20"/>
          <w:szCs w:val="20"/>
        </w:rPr>
        <w:t>To improve transmission performance, especially for cell-edge performance, besides for legacy single-TRP operation, m</w:t>
      </w:r>
      <w:r w:rsidRPr="00701784">
        <w:rPr>
          <w:rFonts w:ascii="Times New Roman" w:hAnsi="Times New Roman" w:cs="Times New Roman"/>
          <w:i/>
          <w:sz w:val="20"/>
          <w:szCs w:val="20"/>
        </w:rPr>
        <w:t xml:space="preserve">ulti-TRP operation with coherent join transmission </w:t>
      </w:r>
      <w:r>
        <w:rPr>
          <w:rFonts w:ascii="Times New Roman" w:hAnsi="Times New Roman" w:cs="Times New Roman"/>
          <w:i/>
          <w:sz w:val="20"/>
          <w:szCs w:val="20"/>
        </w:rPr>
        <w:t xml:space="preserve"> should be considered for 6G deployment.</w:t>
      </w:r>
      <w:r w:rsidR="002B567D">
        <w:rPr>
          <w:rFonts w:ascii="Times New Roman" w:hAnsi="Times New Roman" w:cs="Times New Roman"/>
          <w:i/>
          <w:sz w:val="20"/>
          <w:szCs w:val="20"/>
        </w:rPr>
        <w:t xml:space="preserve">  </w:t>
      </w:r>
      <w:r>
        <w:rPr>
          <w:rFonts w:ascii="Times New Roman" w:hAnsi="Times New Roman" w:cs="Times New Roman"/>
          <w:i/>
          <w:sz w:val="20"/>
          <w:szCs w:val="20"/>
        </w:rPr>
        <w:t>To reduce deployment cost, ensure UL coverage and save NW energy cost, the n</w:t>
      </w:r>
      <w:r w:rsidRPr="0031665E">
        <w:rPr>
          <w:rFonts w:ascii="Times New Roman" w:hAnsi="Times New Roman" w:cs="Times New Roman"/>
          <w:i/>
          <w:sz w:val="20"/>
          <w:szCs w:val="20"/>
        </w:rPr>
        <w:t>ew architecture of DL-TRP and UL-TRP decoupling, i.e., asymmetric DL sTRP/ UL mTRP</w:t>
      </w:r>
    </w:p>
    <w:p w14:paraId="5F7AD680" w14:textId="77777777" w:rsidR="004A6826" w:rsidRPr="007519AA" w:rsidRDefault="004A6826" w:rsidP="002B567D">
      <w:pPr>
        <w:pStyle w:val="aff3"/>
        <w:numPr>
          <w:ilvl w:val="0"/>
          <w:numId w:val="10"/>
        </w:numPr>
        <w:snapToGrid w:val="0"/>
        <w:spacing w:before="20" w:afterLines="100" w:after="240"/>
        <w:textAlignment w:val="center"/>
        <w:rPr>
          <w:rFonts w:ascii="Times New Roman" w:hAnsi="Times New Roman" w:cs="Times New Roman"/>
          <w:i/>
          <w:sz w:val="20"/>
          <w:szCs w:val="20"/>
        </w:rPr>
      </w:pPr>
      <w:r>
        <w:rPr>
          <w:rFonts w:ascii="Times New Roman" w:hAnsi="Times New Roman" w:cs="Times New Roman"/>
          <w:i/>
          <w:sz w:val="20"/>
          <w:szCs w:val="20"/>
        </w:rPr>
        <w:t xml:space="preserve">Case #1: On the deployment scenarios of </w:t>
      </w:r>
      <w:r w:rsidRPr="003B66A6">
        <w:rPr>
          <w:rFonts w:ascii="Times New Roman" w:hAnsi="Times New Roman" w:cs="Times New Roman"/>
          <w:i/>
          <w:sz w:val="20"/>
          <w:szCs w:val="20"/>
        </w:rPr>
        <w:t>indoor hotspot, dense urban, rural, urban macro</w:t>
      </w:r>
      <w:r>
        <w:rPr>
          <w:rFonts w:ascii="Times New Roman" w:hAnsi="Times New Roman" w:cs="Times New Roman"/>
          <w:i/>
          <w:sz w:val="20"/>
          <w:szCs w:val="20"/>
        </w:rPr>
        <w:t>, regarding TRP operation, a mixed mode of {DL+UL TRP, UL-only</w:t>
      </w:r>
      <w:r w:rsidRPr="007519AA">
        <w:rPr>
          <w:rFonts w:ascii="Times New Roman" w:hAnsi="Times New Roman" w:cs="Times New Roman"/>
          <w:i/>
          <w:sz w:val="20"/>
          <w:szCs w:val="20"/>
        </w:rPr>
        <w:t xml:space="preserve"> </w:t>
      </w:r>
      <w:r>
        <w:rPr>
          <w:rFonts w:ascii="Times New Roman" w:hAnsi="Times New Roman" w:cs="Times New Roman"/>
          <w:i/>
          <w:sz w:val="20"/>
          <w:szCs w:val="20"/>
        </w:rPr>
        <w:t>TRP} should be supported</w:t>
      </w:r>
      <w:r w:rsidRPr="007519AA">
        <w:rPr>
          <w:rFonts w:ascii="Times New Roman" w:hAnsi="Times New Roman" w:cs="Times New Roman"/>
          <w:i/>
          <w:sz w:val="20"/>
          <w:szCs w:val="20"/>
        </w:rPr>
        <w:t>.</w:t>
      </w:r>
    </w:p>
    <w:p w14:paraId="0683D88D" w14:textId="3C9DE3D5" w:rsidR="004A6826" w:rsidRDefault="004A6826" w:rsidP="004A6826">
      <w:pPr>
        <w:pStyle w:val="aff3"/>
        <w:numPr>
          <w:ilvl w:val="0"/>
          <w:numId w:val="10"/>
        </w:num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i/>
          <w:sz w:val="20"/>
          <w:szCs w:val="20"/>
        </w:rPr>
        <w:t xml:space="preserve">Case #2: On the deployment scenarios of </w:t>
      </w:r>
      <w:r w:rsidRPr="003B66A6">
        <w:rPr>
          <w:rFonts w:ascii="Times New Roman" w:hAnsi="Times New Roman" w:cs="Times New Roman"/>
          <w:i/>
          <w:sz w:val="20"/>
          <w:szCs w:val="20"/>
        </w:rPr>
        <w:t>dense urban</w:t>
      </w:r>
      <w:r>
        <w:rPr>
          <w:rFonts w:ascii="Times New Roman" w:hAnsi="Times New Roman" w:cs="Times New Roman"/>
          <w:i/>
          <w:sz w:val="20"/>
          <w:szCs w:val="20"/>
        </w:rPr>
        <w:t xml:space="preserve"> (two-layer), ‘macro layer: DL+UL TRP; m</w:t>
      </w:r>
      <w:r w:rsidRPr="000B3D02">
        <w:rPr>
          <w:rFonts w:ascii="Times New Roman" w:hAnsi="Times New Roman" w:cs="Times New Roman"/>
          <w:i/>
          <w:sz w:val="20"/>
          <w:szCs w:val="20"/>
        </w:rPr>
        <w:t xml:space="preserve">icro layer: </w:t>
      </w:r>
      <w:r>
        <w:rPr>
          <w:rFonts w:ascii="Times New Roman" w:hAnsi="Times New Roman" w:cs="Times New Roman"/>
          <w:i/>
          <w:sz w:val="20"/>
          <w:szCs w:val="20"/>
        </w:rPr>
        <w:t>UL-only</w:t>
      </w:r>
      <w:r w:rsidRPr="007519AA">
        <w:rPr>
          <w:rFonts w:ascii="Times New Roman" w:hAnsi="Times New Roman" w:cs="Times New Roman"/>
          <w:i/>
          <w:sz w:val="20"/>
          <w:szCs w:val="20"/>
        </w:rPr>
        <w:t xml:space="preserve"> </w:t>
      </w:r>
      <w:r>
        <w:rPr>
          <w:rFonts w:ascii="Times New Roman" w:hAnsi="Times New Roman" w:cs="Times New Roman"/>
          <w:i/>
          <w:sz w:val="20"/>
          <w:szCs w:val="20"/>
        </w:rPr>
        <w:t>TRP” should be additionally provided, besides for DL+UL-TRP.</w:t>
      </w:r>
    </w:p>
    <w:p w14:paraId="10C96348" w14:textId="0EA95E2B" w:rsidR="007C2EE2" w:rsidRDefault="004A139E">
      <w:pPr>
        <w:snapToGrid w:val="0"/>
        <w:spacing w:before="120" w:afterLines="50" w:after="120"/>
        <w:textAlignment w:val="center"/>
        <w:rPr>
          <w:rFonts w:ascii="Times New Roman" w:hAnsi="Times New Roman" w:cs="Times New Roman"/>
          <w:i/>
          <w:sz w:val="20"/>
          <w:szCs w:val="20"/>
        </w:rPr>
      </w:pPr>
      <w:r>
        <w:rPr>
          <w:rFonts w:ascii="Times New Roman" w:hAnsi="Times New Roman" w:cs="Times New Roman"/>
          <w:b/>
          <w:i/>
          <w:sz w:val="20"/>
          <w:szCs w:val="20"/>
          <w:u w:val="single"/>
        </w:rPr>
        <w:t xml:space="preserve">Proposal </w:t>
      </w:r>
      <w:r w:rsidR="00816BE1">
        <w:rPr>
          <w:rFonts w:ascii="Times New Roman" w:hAnsi="Times New Roman" w:cs="Times New Roman"/>
          <w:b/>
          <w:i/>
          <w:sz w:val="20"/>
          <w:szCs w:val="20"/>
          <w:u w:val="single"/>
        </w:rPr>
        <w:t>3</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To achieve </w:t>
      </w:r>
      <w:r>
        <w:rPr>
          <w:rFonts w:ascii="Times New Roman" w:hAnsi="Times New Roman" w:cs="Times New Roman"/>
          <w:i/>
          <w:sz w:val="20"/>
          <w:szCs w:val="20"/>
        </w:rPr>
        <w:t>comparable UL</w:t>
      </w:r>
      <w:r>
        <w:rPr>
          <w:rFonts w:ascii="Times New Roman" w:hAnsi="Times New Roman" w:cs="Times New Roman" w:hint="eastAsia"/>
          <w:i/>
          <w:sz w:val="20"/>
          <w:szCs w:val="20"/>
        </w:rPr>
        <w:t xml:space="preserve"> coverage </w:t>
      </w:r>
      <w:r>
        <w:rPr>
          <w:rFonts w:ascii="Times New Roman" w:hAnsi="Times New Roman" w:cs="Times New Roman"/>
          <w:i/>
          <w:sz w:val="20"/>
          <w:szCs w:val="20"/>
        </w:rPr>
        <w:t xml:space="preserve">and better capacity </w:t>
      </w:r>
      <w:r>
        <w:rPr>
          <w:rFonts w:ascii="Times New Roman" w:hAnsi="Times New Roman" w:cs="Times New Roman" w:hint="eastAsia"/>
          <w:i/>
          <w:sz w:val="20"/>
          <w:szCs w:val="20"/>
        </w:rPr>
        <w:t xml:space="preserve">in 6G deployment scenarios, especially </w:t>
      </w:r>
      <w:r>
        <w:rPr>
          <w:rFonts w:ascii="Times New Roman" w:hAnsi="Times New Roman" w:cs="Times New Roman"/>
          <w:i/>
          <w:sz w:val="20"/>
          <w:szCs w:val="20"/>
        </w:rPr>
        <w:t xml:space="preserve">around </w:t>
      </w:r>
      <w:r>
        <w:rPr>
          <w:rFonts w:ascii="Times New Roman" w:hAnsi="Times New Roman" w:cs="Times New Roman" w:hint="eastAsia"/>
          <w:i/>
          <w:sz w:val="20"/>
          <w:szCs w:val="20"/>
        </w:rPr>
        <w:t xml:space="preserve">7GHz, </w:t>
      </w:r>
      <w:r>
        <w:rPr>
          <w:rFonts w:ascii="Times New Roman" w:hAnsi="Times New Roman" w:cs="Times New Roman"/>
          <w:i/>
          <w:sz w:val="20"/>
          <w:szCs w:val="20"/>
        </w:rPr>
        <w:t>support multi-</w:t>
      </w:r>
      <w:r w:rsidR="00051554">
        <w:rPr>
          <w:rFonts w:ascii="Times New Roman" w:hAnsi="Times New Roman" w:cs="Times New Roman"/>
          <w:i/>
          <w:sz w:val="20"/>
          <w:szCs w:val="20"/>
        </w:rPr>
        <w:t>carrier</w:t>
      </w:r>
      <w:r>
        <w:rPr>
          <w:rFonts w:ascii="Times New Roman" w:hAnsi="Times New Roman" w:cs="Times New Roman"/>
          <w:i/>
          <w:sz w:val="20"/>
          <w:szCs w:val="20"/>
        </w:rPr>
        <w:t xml:space="preserve"> based deployment scenario for 6G with taking flexible spectrum utilization and minimal UE complexity into account. </w:t>
      </w:r>
    </w:p>
    <w:p w14:paraId="18F274EF" w14:textId="77777777" w:rsidR="007C2EE2" w:rsidRDefault="007C2EE2">
      <w:pPr>
        <w:snapToGrid w:val="0"/>
        <w:spacing w:before="120" w:afterLines="50" w:after="120"/>
        <w:textAlignment w:val="center"/>
        <w:rPr>
          <w:rFonts w:cs="Times New Roman"/>
          <w:b/>
          <w:szCs w:val="20"/>
        </w:rPr>
      </w:pPr>
    </w:p>
    <w:bookmarkEnd w:id="3"/>
    <w:p w14:paraId="287CBC02" w14:textId="77777777" w:rsidR="007C2EE2" w:rsidRDefault="004A139E">
      <w:pPr>
        <w:pStyle w:val="1"/>
        <w:numPr>
          <w:ilvl w:val="0"/>
          <w:numId w:val="7"/>
        </w:numPr>
        <w:snapToGrid w:val="0"/>
        <w:spacing w:before="120" w:line="276" w:lineRule="auto"/>
        <w:rPr>
          <w:rFonts w:ascii="Times New Roman" w:hAnsi="Times New Roman"/>
          <w:b/>
        </w:rPr>
      </w:pPr>
      <w:r>
        <w:rPr>
          <w:rFonts w:ascii="Times New Roman" w:hAnsi="Times New Roman"/>
          <w:b/>
        </w:rPr>
        <w:t>References</w:t>
      </w:r>
    </w:p>
    <w:p w14:paraId="4143C8EC" w14:textId="77777777" w:rsidR="00816BE1" w:rsidRPr="002B567D" w:rsidRDefault="00816BE1" w:rsidP="00816BE1">
      <w:pPr>
        <w:widowControl/>
        <w:numPr>
          <w:ilvl w:val="0"/>
          <w:numId w:val="11"/>
        </w:numPr>
        <w:autoSpaceDE w:val="0"/>
        <w:autoSpaceDN w:val="0"/>
        <w:adjustRightInd w:val="0"/>
        <w:snapToGrid w:val="0"/>
        <w:rPr>
          <w:rFonts w:ascii="Times New Roman" w:hAnsi="Times New Roman" w:cs="Times New Roman"/>
          <w:bCs/>
          <w:sz w:val="20"/>
          <w:szCs w:val="20"/>
          <w:lang w:eastAsia="en-US"/>
        </w:rPr>
      </w:pPr>
      <w:r w:rsidRPr="002B567D">
        <w:rPr>
          <w:rFonts w:ascii="Times New Roman" w:hAnsi="Times New Roman" w:cs="Times New Roman"/>
          <w:bCs/>
          <w:sz w:val="20"/>
          <w:szCs w:val="20"/>
          <w:lang w:eastAsia="en-US"/>
        </w:rPr>
        <w:t>RP-250</w:t>
      </w:r>
      <w:r w:rsidRPr="002B567D">
        <w:rPr>
          <w:rFonts w:ascii="Times New Roman" w:hAnsi="Times New Roman" w:cs="Times New Roman" w:hint="eastAsia"/>
          <w:bCs/>
          <w:sz w:val="20"/>
          <w:szCs w:val="20"/>
          <w:lang w:eastAsia="en-US"/>
        </w:rPr>
        <w:t>810 Revised</w:t>
      </w:r>
      <w:r w:rsidRPr="002B567D">
        <w:rPr>
          <w:rFonts w:ascii="Times New Roman" w:hAnsi="Times New Roman" w:cs="Times New Roman"/>
          <w:bCs/>
          <w:sz w:val="20"/>
          <w:szCs w:val="20"/>
          <w:lang w:eastAsia="en-US"/>
        </w:rPr>
        <w:t xml:space="preserve"> </w:t>
      </w:r>
      <w:r w:rsidRPr="002B567D">
        <w:rPr>
          <w:rFonts w:ascii="Times New Roman" w:hAnsi="Times New Roman" w:cs="Times New Roman" w:hint="eastAsia"/>
          <w:bCs/>
          <w:sz w:val="20"/>
          <w:szCs w:val="20"/>
          <w:lang w:eastAsia="en-US"/>
        </w:rPr>
        <w:t>SID</w:t>
      </w:r>
      <w:r w:rsidRPr="002B567D">
        <w:rPr>
          <w:rFonts w:ascii="Times New Roman" w:hAnsi="Times New Roman" w:cs="Times New Roman"/>
          <w:bCs/>
          <w:sz w:val="20"/>
          <w:szCs w:val="20"/>
          <w:lang w:eastAsia="en-US"/>
        </w:rPr>
        <w:t>: Study on 6G Scenarios and requirements</w:t>
      </w:r>
      <w:r w:rsidRPr="002B567D">
        <w:rPr>
          <w:rFonts w:ascii="Times New Roman" w:hAnsi="Times New Roman" w:cs="Times New Roman" w:hint="eastAsia"/>
          <w:bCs/>
          <w:sz w:val="20"/>
          <w:szCs w:val="20"/>
          <w:lang w:eastAsia="en-US"/>
        </w:rPr>
        <w:t xml:space="preserve"> CMCC, Verizon, </w:t>
      </w:r>
      <w:r w:rsidRPr="002B567D">
        <w:rPr>
          <w:rFonts w:ascii="Times New Roman" w:hAnsi="Times New Roman" w:cs="Times New Roman"/>
          <w:bCs/>
          <w:sz w:val="20"/>
          <w:szCs w:val="20"/>
          <w:lang w:eastAsia="en-US"/>
        </w:rPr>
        <w:t>NTT DOCOMO, INC.</w:t>
      </w:r>
      <w:r w:rsidRPr="002B567D">
        <w:rPr>
          <w:rFonts w:ascii="Times New Roman" w:hAnsi="Times New Roman" w:cs="Times New Roman" w:hint="eastAsia"/>
          <w:bCs/>
          <w:sz w:val="20"/>
          <w:szCs w:val="20"/>
          <w:lang w:eastAsia="en-US"/>
        </w:rPr>
        <w:t xml:space="preserve">, </w:t>
      </w:r>
      <w:r w:rsidRPr="002B567D">
        <w:rPr>
          <w:rFonts w:ascii="Times New Roman" w:hAnsi="Times New Roman" w:cs="Times New Roman" w:hint="eastAsia"/>
          <w:bCs/>
          <w:sz w:val="20"/>
          <w:szCs w:val="20"/>
          <w:lang w:eastAsia="en-US"/>
        </w:rPr>
        <w:tab/>
      </w:r>
      <w:r w:rsidRPr="002B567D">
        <w:rPr>
          <w:rFonts w:ascii="Times New Roman" w:hAnsi="Times New Roman" w:cs="Times New Roman"/>
          <w:bCs/>
          <w:sz w:val="20"/>
          <w:szCs w:val="20"/>
          <w:lang w:eastAsia="en-US"/>
        </w:rPr>
        <w:t>Deutsche Telekom</w:t>
      </w:r>
    </w:p>
    <w:p w14:paraId="04BF5394" w14:textId="74BBDB38" w:rsidR="007C2EE2" w:rsidRPr="00721974" w:rsidRDefault="004A139E" w:rsidP="00721974">
      <w:pPr>
        <w:pStyle w:val="References"/>
        <w:widowControl/>
        <w:numPr>
          <w:ilvl w:val="0"/>
          <w:numId w:val="11"/>
        </w:numPr>
        <w:autoSpaceDE/>
        <w:autoSpaceDN/>
        <w:adjustRightInd w:val="0"/>
        <w:spacing w:before="120" w:after="120"/>
        <w:rPr>
          <w:rFonts w:cs="Times New Roman"/>
          <w:sz w:val="20"/>
          <w:szCs w:val="20"/>
        </w:rPr>
      </w:pPr>
      <w:r>
        <w:rPr>
          <w:rFonts w:ascii="Times New Roman" w:hAnsi="Times New Roman" w:cs="Times New Roman"/>
          <w:bCs/>
          <w:sz w:val="20"/>
          <w:szCs w:val="20"/>
        </w:rPr>
        <w:t>RP-232152, Views on Rel19 MIMO evolution, ZTE</w:t>
      </w:r>
    </w:p>
    <w:p w14:paraId="3AF6126F" w14:textId="65D5EE60" w:rsidR="007C2EE2" w:rsidRDefault="004A139E" w:rsidP="00721974">
      <w:pPr>
        <w:numPr>
          <w:ilvl w:val="0"/>
          <w:numId w:val="11"/>
        </w:numPr>
        <w:snapToGrid w:val="0"/>
        <w:spacing w:before="120" w:after="120"/>
        <w:rPr>
          <w:rFonts w:ascii="Times New Roman" w:hAnsi="Times New Roman" w:cs="Times New Roman"/>
          <w:bCs/>
          <w:sz w:val="20"/>
          <w:szCs w:val="20"/>
          <w:lang w:eastAsia="en-US"/>
        </w:rPr>
      </w:pPr>
      <w:r>
        <w:rPr>
          <w:rFonts w:ascii="Times New Roman" w:hAnsi="Times New Roman" w:cs="Times New Roman" w:hint="eastAsia"/>
          <w:bCs/>
          <w:sz w:val="20"/>
          <w:szCs w:val="20"/>
          <w:lang w:eastAsia="en-US"/>
        </w:rPr>
        <w:t>RP-251742</w:t>
      </w:r>
      <w:r>
        <w:rPr>
          <w:rFonts w:ascii="Times New Roman" w:hAnsi="Times New Roman" w:cs="Times New Roman" w:hint="eastAsia"/>
          <w:bCs/>
          <w:sz w:val="20"/>
          <w:szCs w:val="20"/>
        </w:rPr>
        <w:t xml:space="preserve"> </w:t>
      </w:r>
      <w:r>
        <w:rPr>
          <w:rFonts w:ascii="Times New Roman" w:hAnsi="Times New Roman" w:cs="Times New Roman"/>
          <w:bCs/>
          <w:sz w:val="20"/>
          <w:szCs w:val="20"/>
        </w:rPr>
        <w:t>“</w:t>
      </w:r>
      <w:r>
        <w:rPr>
          <w:rFonts w:ascii="Times New Roman" w:hAnsi="Times New Roman" w:cs="Times New Roman" w:hint="eastAsia"/>
          <w:bCs/>
          <w:sz w:val="20"/>
          <w:szCs w:val="20"/>
        </w:rPr>
        <w:t>Study on 6G scenarios and requirements - ISAC</w:t>
      </w:r>
      <w:r>
        <w:rPr>
          <w:rFonts w:ascii="Times New Roman" w:hAnsi="Times New Roman" w:cs="Times New Roman"/>
          <w:bCs/>
          <w:sz w:val="20"/>
          <w:szCs w:val="20"/>
        </w:rPr>
        <w:t>”</w:t>
      </w:r>
      <w:r>
        <w:rPr>
          <w:rFonts w:ascii="Times New Roman" w:hAnsi="Times New Roman" w:cs="Times New Roman" w:hint="eastAsia"/>
          <w:bCs/>
          <w:sz w:val="20"/>
          <w:szCs w:val="20"/>
        </w:rPr>
        <w:t>, ZTE, Sanechips</w:t>
      </w:r>
    </w:p>
    <w:p w14:paraId="0D2DF29C" w14:textId="5B26BC9A" w:rsidR="007C2EE2" w:rsidRDefault="004A139E" w:rsidP="00721974">
      <w:pPr>
        <w:numPr>
          <w:ilvl w:val="0"/>
          <w:numId w:val="11"/>
        </w:numPr>
        <w:snapToGrid w:val="0"/>
        <w:spacing w:before="120" w:after="120"/>
        <w:rPr>
          <w:rFonts w:ascii="Times New Roman" w:hAnsi="Times New Roman" w:cs="Times New Roman"/>
          <w:sz w:val="20"/>
          <w:szCs w:val="20"/>
          <w:lang w:eastAsia="en-US"/>
        </w:rPr>
      </w:pPr>
      <w:r>
        <w:rPr>
          <w:rFonts w:ascii="Times New Roman" w:hAnsi="Times New Roman" w:cs="Times New Roman" w:hint="eastAsia"/>
          <w:sz w:val="20"/>
          <w:szCs w:val="20"/>
        </w:rPr>
        <w:t>RP-251741</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rPr>
        <w:t>Study on 6G scenarios and requirements - AI/ML part</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ZTE Corporation, China Unicom, Pengcheng Laboratory, Sanechips</w:t>
      </w:r>
    </w:p>
    <w:p w14:paraId="36C10CAF" w14:textId="788FFE34" w:rsidR="007C2EE2" w:rsidRDefault="004A139E" w:rsidP="00721974">
      <w:pPr>
        <w:numPr>
          <w:ilvl w:val="0"/>
          <w:numId w:val="11"/>
        </w:numPr>
        <w:snapToGrid w:val="0"/>
        <w:spacing w:before="120" w:after="120"/>
        <w:rPr>
          <w:rFonts w:ascii="Times New Roman" w:hAnsi="Times New Roman" w:cs="Times New Roman"/>
          <w:sz w:val="20"/>
          <w:szCs w:val="20"/>
          <w:lang w:eastAsia="en-US"/>
        </w:rPr>
      </w:pPr>
      <w:r>
        <w:rPr>
          <w:rFonts w:ascii="Times New Roman" w:hAnsi="Times New Roman" w:cs="Times New Roman" w:hint="eastAsia"/>
          <w:sz w:val="20"/>
          <w:szCs w:val="20"/>
        </w:rPr>
        <w:t>RP-251745</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en-US"/>
        </w:rPr>
        <w:t>Energy-efficient network deployment scenarios in 6G</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ZTE Corporation, China Telecom,</w:t>
      </w:r>
      <w:r w:rsidR="00EE6DCD">
        <w:rPr>
          <w:rFonts w:ascii="Times New Roman" w:hAnsi="Times New Roman" w:cs="Times New Roman"/>
          <w:bCs/>
          <w:sz w:val="20"/>
          <w:szCs w:val="20"/>
        </w:rPr>
        <w:t xml:space="preserve"> </w:t>
      </w:r>
      <w:r>
        <w:rPr>
          <w:rFonts w:ascii="Times New Roman" w:hAnsi="Times New Roman" w:cs="Times New Roman" w:hint="eastAsia"/>
          <w:bCs/>
          <w:sz w:val="20"/>
          <w:szCs w:val="20"/>
        </w:rPr>
        <w:t>China Unicom,</w:t>
      </w:r>
      <w:r w:rsidR="00EE6DCD">
        <w:rPr>
          <w:rFonts w:ascii="Times New Roman" w:hAnsi="Times New Roman" w:cs="Times New Roman"/>
          <w:bCs/>
          <w:sz w:val="20"/>
          <w:szCs w:val="20"/>
        </w:rPr>
        <w:t xml:space="preserve"> </w:t>
      </w:r>
      <w:r>
        <w:rPr>
          <w:rFonts w:ascii="Times New Roman" w:hAnsi="Times New Roman" w:cs="Times New Roman" w:hint="eastAsia"/>
          <w:bCs/>
          <w:sz w:val="20"/>
          <w:szCs w:val="20"/>
        </w:rPr>
        <w:t>KT Corp.,</w:t>
      </w:r>
      <w:r w:rsidR="00EE6DCD">
        <w:rPr>
          <w:rFonts w:ascii="Times New Roman" w:hAnsi="Times New Roman" w:cs="Times New Roman"/>
          <w:bCs/>
          <w:sz w:val="20"/>
          <w:szCs w:val="20"/>
        </w:rPr>
        <w:t xml:space="preserve"> </w:t>
      </w:r>
      <w:r>
        <w:rPr>
          <w:rFonts w:ascii="Times New Roman" w:hAnsi="Times New Roman" w:cs="Times New Roman" w:hint="eastAsia"/>
          <w:bCs/>
          <w:sz w:val="20"/>
          <w:szCs w:val="20"/>
        </w:rPr>
        <w:t>Sanechips, Shanghai Jiao Tong University, Queens University Belfast</w:t>
      </w:r>
    </w:p>
    <w:p w14:paraId="27107064" w14:textId="29DB5FB7" w:rsidR="007C2EE2" w:rsidRDefault="004A139E" w:rsidP="00721974">
      <w:pPr>
        <w:numPr>
          <w:ilvl w:val="0"/>
          <w:numId w:val="11"/>
        </w:numPr>
        <w:snapToGrid w:val="0"/>
        <w:spacing w:before="120" w:after="120"/>
        <w:rPr>
          <w:rFonts w:ascii="Times New Roman" w:hAnsi="Times New Roman" w:cs="Times New Roman"/>
          <w:sz w:val="20"/>
          <w:szCs w:val="20"/>
          <w:lang w:eastAsia="en-US"/>
        </w:rPr>
      </w:pPr>
      <w:bookmarkStart w:id="6" w:name="_Ref199507415"/>
      <w:r>
        <w:rPr>
          <w:rFonts w:ascii="Times New Roman" w:hAnsi="Times New Roman" w:cs="Times New Roman" w:hint="eastAsia"/>
          <w:sz w:val="20"/>
          <w:szCs w:val="20"/>
        </w:rPr>
        <w:t>RP-251744</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sz w:val="20"/>
          <w:szCs w:val="20"/>
          <w:lang w:eastAsia="en-US"/>
        </w:rPr>
        <w:t>Views on 6G NTN scenarios</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ZTE, Sanechips</w:t>
      </w:r>
      <w:bookmarkEnd w:id="6"/>
    </w:p>
    <w:p w14:paraId="3CB46580" w14:textId="77777777" w:rsidR="007C2EE2" w:rsidRDefault="007C2EE2" w:rsidP="00721974">
      <w:pPr>
        <w:pStyle w:val="References"/>
        <w:widowControl/>
        <w:numPr>
          <w:ilvl w:val="255"/>
          <w:numId w:val="0"/>
        </w:numPr>
        <w:autoSpaceDE/>
        <w:autoSpaceDN/>
        <w:adjustRightInd w:val="0"/>
        <w:spacing w:before="120" w:after="120"/>
        <w:rPr>
          <w:rFonts w:cs="Times New Roman"/>
        </w:rPr>
      </w:pPr>
    </w:p>
    <w:p w14:paraId="6FA6A9AD" w14:textId="77777777" w:rsidR="007C2EE2" w:rsidRDefault="004A139E">
      <w:pPr>
        <w:pStyle w:val="1"/>
        <w:numPr>
          <w:ilvl w:val="0"/>
          <w:numId w:val="7"/>
        </w:numPr>
        <w:snapToGrid w:val="0"/>
        <w:spacing w:before="120" w:line="276" w:lineRule="auto"/>
        <w:rPr>
          <w:rFonts w:ascii="Times New Roman" w:hAnsi="Times New Roman"/>
          <w:b/>
        </w:rPr>
      </w:pPr>
      <w:r>
        <w:rPr>
          <w:rFonts w:ascii="Times New Roman" w:hAnsi="Times New Roman"/>
          <w:b/>
        </w:rPr>
        <w:t>Appendix</w:t>
      </w:r>
    </w:p>
    <w:p w14:paraId="67C84B4E" w14:textId="5FF3C7AB" w:rsidR="007C2EE2" w:rsidRPr="00721974" w:rsidRDefault="004A139E" w:rsidP="00721974">
      <w:pPr>
        <w:snapToGrid w:val="0"/>
        <w:spacing w:beforeLines="50" w:before="120" w:afterLines="50" w:after="120" w:line="276" w:lineRule="auto"/>
        <w:rPr>
          <w:rFonts w:ascii="Times New Roman" w:hAnsi="Times New Roman"/>
          <w:sz w:val="20"/>
          <w:lang w:val="en-GB"/>
        </w:rPr>
      </w:pPr>
      <w:r w:rsidRPr="00721974">
        <w:rPr>
          <w:rFonts w:ascii="Times New Roman" w:hAnsi="Times New Roman" w:cs="Times New Roman"/>
          <w:sz w:val="20"/>
          <w:lang w:val="en-GB"/>
        </w:rPr>
        <w:t>Simulation assumption for multi-antenna schemes</w:t>
      </w:r>
      <w:r w:rsidR="00EE6DCD">
        <w:rPr>
          <w:rFonts w:ascii="Times New Roman" w:hAnsi="Times New Roman" w:cs="Times New Roman"/>
          <w:sz w:val="20"/>
          <w:lang w:val="en-GB"/>
        </w:rPr>
        <w:t xml:space="preserve"> can be found in the following Table 5-1/2/3.</w:t>
      </w:r>
    </w:p>
    <w:p w14:paraId="09FDDA1D" w14:textId="77777777" w:rsidR="007C2EE2" w:rsidRPr="00721974" w:rsidRDefault="004A139E">
      <w:pPr>
        <w:snapToGrid w:val="0"/>
        <w:spacing w:beforeLines="30" w:before="72" w:afterLines="30" w:after="72" w:line="276" w:lineRule="auto"/>
        <w:jc w:val="center"/>
        <w:rPr>
          <w:rFonts w:ascii="Times New Roman" w:eastAsia="微软雅黑" w:hAnsi="Times New Roman" w:cs="Times New Roman"/>
          <w:sz w:val="20"/>
          <w:szCs w:val="20"/>
          <w:u w:val="single"/>
        </w:rPr>
      </w:pPr>
      <w:r w:rsidRPr="00721974">
        <w:rPr>
          <w:rFonts w:ascii="Times New Roman" w:eastAsia="微软雅黑" w:hAnsi="Times New Roman" w:cs="Times New Roman"/>
          <w:b/>
          <w:sz w:val="20"/>
          <w:szCs w:val="20"/>
        </w:rPr>
        <w:t>Table 5-1</w:t>
      </w:r>
      <w:r w:rsidRPr="00721974">
        <w:rPr>
          <w:rFonts w:ascii="Times New Roman" w:eastAsia="微软雅黑" w:hAnsi="Times New Roman" w:cs="Times New Roman"/>
          <w:sz w:val="20"/>
          <w:szCs w:val="20"/>
        </w:rPr>
        <w:t xml:space="preserve"> SLS evaluation assumption for ultra-massive MIMO at 3.5 GHz and 7 GHz co-site deployment</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5291"/>
      </w:tblGrid>
      <w:tr w:rsidR="007C2EE2" w14:paraId="22C31F4E" w14:textId="77777777">
        <w:trPr>
          <w:trHeight w:val="141"/>
          <w:jc w:val="center"/>
        </w:trPr>
        <w:tc>
          <w:tcPr>
            <w:tcW w:w="2605" w:type="dxa"/>
            <w:shd w:val="clear" w:color="auto" w:fill="D9D9D9" w:themeFill="background1" w:themeFillShade="D9"/>
            <w:noWrap/>
            <w:vAlign w:val="center"/>
          </w:tcPr>
          <w:p w14:paraId="6AA537CA" w14:textId="77777777" w:rsidR="007C2EE2" w:rsidRDefault="004A139E">
            <w:pPr>
              <w:snapToGrid w:val="0"/>
              <w:jc w:val="center"/>
              <w:rPr>
                <w:rFonts w:ascii="Times New Roman" w:hAnsi="Times New Roman" w:cs="Times New Roman"/>
                <w:b/>
                <w:bCs/>
                <w:color w:val="000000"/>
                <w:sz w:val="18"/>
                <w:szCs w:val="20"/>
              </w:rPr>
            </w:pPr>
            <w:r>
              <w:rPr>
                <w:rFonts w:ascii="Times New Roman" w:hAnsi="Times New Roman" w:cs="Times New Roman"/>
                <w:b/>
                <w:bCs/>
                <w:color w:val="000000"/>
                <w:sz w:val="18"/>
                <w:szCs w:val="20"/>
              </w:rPr>
              <w:t>Parameter</w:t>
            </w:r>
          </w:p>
        </w:tc>
        <w:tc>
          <w:tcPr>
            <w:tcW w:w="5291" w:type="dxa"/>
            <w:shd w:val="clear" w:color="auto" w:fill="D9D9D9" w:themeFill="background1" w:themeFillShade="D9"/>
            <w:noWrap/>
            <w:vAlign w:val="center"/>
          </w:tcPr>
          <w:p w14:paraId="5F5A357F" w14:textId="77777777" w:rsidR="007C2EE2" w:rsidRDefault="004A139E">
            <w:pPr>
              <w:snapToGrid w:val="0"/>
              <w:jc w:val="center"/>
              <w:rPr>
                <w:rFonts w:ascii="Times New Roman" w:hAnsi="Times New Roman" w:cs="Times New Roman"/>
                <w:b/>
                <w:bCs/>
                <w:color w:val="000000"/>
                <w:sz w:val="18"/>
                <w:szCs w:val="20"/>
              </w:rPr>
            </w:pPr>
            <w:r>
              <w:rPr>
                <w:rFonts w:ascii="Times New Roman" w:hAnsi="Times New Roman" w:cs="Times New Roman"/>
                <w:b/>
                <w:bCs/>
                <w:color w:val="000000"/>
                <w:sz w:val="18"/>
                <w:szCs w:val="20"/>
              </w:rPr>
              <w:t>Value</w:t>
            </w:r>
          </w:p>
        </w:tc>
      </w:tr>
      <w:tr w:rsidR="007C2EE2" w14:paraId="61C2E08C" w14:textId="77777777">
        <w:trPr>
          <w:trHeight w:val="173"/>
          <w:jc w:val="center"/>
        </w:trPr>
        <w:tc>
          <w:tcPr>
            <w:tcW w:w="2605" w:type="dxa"/>
            <w:shd w:val="clear" w:color="auto" w:fill="auto"/>
            <w:vAlign w:val="center"/>
          </w:tcPr>
          <w:p w14:paraId="3294C8D5"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Carrier Frequency</w:t>
            </w:r>
          </w:p>
        </w:tc>
        <w:tc>
          <w:tcPr>
            <w:tcW w:w="5291" w:type="dxa"/>
            <w:shd w:val="clear" w:color="auto" w:fill="auto"/>
            <w:noWrap/>
            <w:vAlign w:val="center"/>
          </w:tcPr>
          <w:p w14:paraId="10E95086"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3.5GHz and 7GHz</w:t>
            </w:r>
          </w:p>
        </w:tc>
      </w:tr>
      <w:tr w:rsidR="007C2EE2" w14:paraId="14BD18AF" w14:textId="77777777">
        <w:trPr>
          <w:trHeight w:val="285"/>
          <w:jc w:val="center"/>
        </w:trPr>
        <w:tc>
          <w:tcPr>
            <w:tcW w:w="2605" w:type="dxa"/>
            <w:shd w:val="clear" w:color="auto" w:fill="auto"/>
            <w:vAlign w:val="center"/>
          </w:tcPr>
          <w:p w14:paraId="0C2D39B9"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Channel Model</w:t>
            </w:r>
          </w:p>
        </w:tc>
        <w:tc>
          <w:tcPr>
            <w:tcW w:w="5291" w:type="dxa"/>
            <w:shd w:val="clear" w:color="auto" w:fill="auto"/>
            <w:noWrap/>
            <w:vAlign w:val="center"/>
          </w:tcPr>
          <w:p w14:paraId="3E0C2009"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According to the TR 38.901</w:t>
            </w:r>
          </w:p>
          <w:p w14:paraId="7235CB17" w14:textId="77777777" w:rsidR="007C2EE2" w:rsidRDefault="004A139E">
            <w:pPr>
              <w:keepNext/>
              <w:keepLines/>
              <w:snapToGrid w:val="0"/>
              <w:jc w:val="center"/>
              <w:rPr>
                <w:rFonts w:ascii="Times New Roman" w:hAnsi="Times New Roman" w:cs="Times New Roman"/>
                <w:color w:val="000000"/>
                <w:sz w:val="18"/>
                <w:szCs w:val="20"/>
              </w:rPr>
            </w:pPr>
            <w:r>
              <w:rPr>
                <w:rFonts w:ascii="Times New Roman" w:eastAsia="宋体" w:hAnsi="Times New Roman" w:cs="Times New Roman"/>
                <w:color w:val="000000"/>
                <w:sz w:val="18"/>
                <w:szCs w:val="20"/>
                <w:lang w:val="en-GB" w:eastAsia="ja-JP"/>
              </w:rPr>
              <w:t>3D Um</w:t>
            </w:r>
            <w:r>
              <w:rPr>
                <w:rFonts w:ascii="Times New Roman" w:eastAsia="宋体" w:hAnsi="Times New Roman" w:cs="Times New Roman"/>
                <w:color w:val="000000"/>
                <w:sz w:val="18"/>
                <w:szCs w:val="20"/>
              </w:rPr>
              <w:t>i, ISD=200m</w:t>
            </w:r>
          </w:p>
        </w:tc>
      </w:tr>
      <w:tr w:rsidR="007C2EE2" w14:paraId="47591EE9" w14:textId="77777777">
        <w:trPr>
          <w:trHeight w:val="90"/>
          <w:jc w:val="center"/>
        </w:trPr>
        <w:tc>
          <w:tcPr>
            <w:tcW w:w="2605" w:type="dxa"/>
            <w:shd w:val="clear" w:color="auto" w:fill="auto"/>
            <w:vAlign w:val="center"/>
          </w:tcPr>
          <w:p w14:paraId="3568B7A2"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Antenna setup and port layouts at gNB</w:t>
            </w:r>
          </w:p>
        </w:tc>
        <w:tc>
          <w:tcPr>
            <w:tcW w:w="5291" w:type="dxa"/>
            <w:shd w:val="clear" w:color="auto" w:fill="auto"/>
            <w:vAlign w:val="center"/>
          </w:tcPr>
          <w:p w14:paraId="0D599553"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 xml:space="preserve">- 32 ports: (M, N, P, Mg, Ng, Mp, </w:t>
            </w:r>
            <w:r>
              <w:rPr>
                <w:rFonts w:ascii="Times New Roman" w:eastAsia="Malgun Gothic" w:hAnsi="Times New Roman" w:cs="Times New Roman"/>
                <w:color w:val="000000"/>
                <w:kern w:val="24"/>
                <w:sz w:val="18"/>
                <w:szCs w:val="20"/>
                <w:lang w:val="sv-SE"/>
              </w:rPr>
              <w:t>Np) =(</w:t>
            </w:r>
            <w:r>
              <w:rPr>
                <w:rFonts w:ascii="Times New Roman" w:hAnsi="Times New Roman" w:cs="Times New Roman"/>
                <w:color w:val="000000"/>
                <w:kern w:val="24"/>
                <w:sz w:val="18"/>
                <w:szCs w:val="20"/>
              </w:rPr>
              <w:t>12</w:t>
            </w:r>
            <w:r>
              <w:rPr>
                <w:rFonts w:ascii="Times New Roman" w:eastAsia="Malgun Gothic" w:hAnsi="Times New Roman" w:cs="Times New Roman"/>
                <w:color w:val="000000"/>
                <w:kern w:val="24"/>
                <w:sz w:val="18"/>
                <w:szCs w:val="20"/>
                <w:lang w:val="sv-SE"/>
              </w:rPr>
              <w:t>,</w:t>
            </w:r>
            <w:r>
              <w:rPr>
                <w:rFonts w:ascii="Times New Roman" w:hAnsi="Times New Roman" w:cs="Times New Roman"/>
                <w:color w:val="000000"/>
                <w:kern w:val="24"/>
                <w:sz w:val="18"/>
                <w:szCs w:val="20"/>
              </w:rPr>
              <w:t>4</w:t>
            </w:r>
            <w:r>
              <w:rPr>
                <w:rFonts w:ascii="Times New Roman" w:eastAsia="Malgun Gothic" w:hAnsi="Times New Roman" w:cs="Times New Roman"/>
                <w:color w:val="000000"/>
                <w:kern w:val="24"/>
                <w:sz w:val="18"/>
                <w:szCs w:val="20"/>
                <w:lang w:val="sv-SE"/>
              </w:rPr>
              <w:t>,2,1,1</w:t>
            </w:r>
            <w:r>
              <w:rPr>
                <w:rFonts w:ascii="Times New Roman" w:hAnsi="Times New Roman" w:cs="Times New Roman"/>
                <w:color w:val="000000"/>
                <w:kern w:val="24"/>
                <w:sz w:val="18"/>
                <w:szCs w:val="20"/>
              </w:rPr>
              <w:t>,4,4</w:t>
            </w:r>
            <w:r>
              <w:rPr>
                <w:rFonts w:ascii="Times New Roman" w:hAnsi="Times New Roman" w:cs="Times New Roman"/>
                <w:color w:val="000000"/>
                <w:sz w:val="18"/>
                <w:szCs w:val="20"/>
              </w:rPr>
              <w:t>)</w:t>
            </w:r>
          </w:p>
          <w:p w14:paraId="40C251F7"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 xml:space="preserve">- 128 ports: (M, N, P, Mg, Ng, Mp, </w:t>
            </w:r>
            <w:r>
              <w:rPr>
                <w:rFonts w:ascii="Times New Roman" w:eastAsia="Malgun Gothic" w:hAnsi="Times New Roman" w:cs="Times New Roman"/>
                <w:color w:val="000000"/>
                <w:kern w:val="24"/>
                <w:sz w:val="18"/>
                <w:szCs w:val="20"/>
                <w:lang w:val="sv-SE"/>
              </w:rPr>
              <w:t>Np) =(</w:t>
            </w:r>
            <w:r>
              <w:rPr>
                <w:rFonts w:ascii="Times New Roman" w:hAnsi="Times New Roman" w:cs="Times New Roman"/>
                <w:color w:val="000000"/>
                <w:kern w:val="24"/>
                <w:sz w:val="18"/>
                <w:szCs w:val="20"/>
              </w:rPr>
              <w:t>32</w:t>
            </w:r>
            <w:r>
              <w:rPr>
                <w:rFonts w:ascii="Times New Roman" w:eastAsia="Malgun Gothic" w:hAnsi="Times New Roman" w:cs="Times New Roman"/>
                <w:color w:val="000000"/>
                <w:kern w:val="24"/>
                <w:sz w:val="18"/>
                <w:szCs w:val="20"/>
                <w:lang w:val="sv-SE"/>
              </w:rPr>
              <w:t>,</w:t>
            </w:r>
            <w:r>
              <w:rPr>
                <w:rFonts w:ascii="Times New Roman" w:hAnsi="Times New Roman" w:cs="Times New Roman"/>
                <w:color w:val="000000"/>
                <w:kern w:val="24"/>
                <w:sz w:val="18"/>
                <w:szCs w:val="20"/>
              </w:rPr>
              <w:t>16</w:t>
            </w:r>
            <w:r>
              <w:rPr>
                <w:rFonts w:ascii="Times New Roman" w:eastAsia="Malgun Gothic" w:hAnsi="Times New Roman" w:cs="Times New Roman"/>
                <w:color w:val="000000"/>
                <w:kern w:val="24"/>
                <w:sz w:val="18"/>
                <w:szCs w:val="20"/>
                <w:lang w:val="sv-SE"/>
              </w:rPr>
              <w:t>,2,1,1</w:t>
            </w:r>
            <w:r>
              <w:rPr>
                <w:rFonts w:ascii="Times New Roman" w:hAnsi="Times New Roman" w:cs="Times New Roman"/>
                <w:color w:val="000000"/>
                <w:kern w:val="24"/>
                <w:sz w:val="18"/>
                <w:szCs w:val="20"/>
              </w:rPr>
              <w:t>,4,16</w:t>
            </w:r>
            <w:r>
              <w:rPr>
                <w:rFonts w:ascii="Times New Roman" w:hAnsi="Times New Roman" w:cs="Times New Roman"/>
                <w:color w:val="000000"/>
                <w:sz w:val="18"/>
                <w:szCs w:val="20"/>
              </w:rPr>
              <w:t>)</w:t>
            </w:r>
          </w:p>
          <w:p w14:paraId="79CF4F23"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 xml:space="preserve">- 256 ports: (M, N, P, Mg, Ng, Mp, </w:t>
            </w:r>
            <w:r>
              <w:rPr>
                <w:rFonts w:ascii="Times New Roman" w:eastAsia="Malgun Gothic" w:hAnsi="Times New Roman" w:cs="Times New Roman"/>
                <w:color w:val="000000"/>
                <w:kern w:val="24"/>
                <w:sz w:val="18"/>
                <w:szCs w:val="20"/>
                <w:lang w:val="sv-SE"/>
              </w:rPr>
              <w:t>Np) =(</w:t>
            </w:r>
            <w:r>
              <w:rPr>
                <w:rFonts w:ascii="Times New Roman" w:hAnsi="Times New Roman" w:cs="Times New Roman"/>
                <w:color w:val="000000"/>
                <w:kern w:val="24"/>
                <w:sz w:val="18"/>
                <w:szCs w:val="20"/>
              </w:rPr>
              <w:t>32</w:t>
            </w:r>
            <w:r>
              <w:rPr>
                <w:rFonts w:ascii="Times New Roman" w:eastAsia="Malgun Gothic" w:hAnsi="Times New Roman" w:cs="Times New Roman"/>
                <w:color w:val="000000"/>
                <w:kern w:val="24"/>
                <w:sz w:val="18"/>
                <w:szCs w:val="20"/>
                <w:lang w:val="sv-SE"/>
              </w:rPr>
              <w:t>,</w:t>
            </w:r>
            <w:r>
              <w:rPr>
                <w:rFonts w:ascii="Times New Roman" w:hAnsi="Times New Roman" w:cs="Times New Roman"/>
                <w:color w:val="000000"/>
                <w:kern w:val="24"/>
                <w:sz w:val="18"/>
                <w:szCs w:val="20"/>
              </w:rPr>
              <w:t>16</w:t>
            </w:r>
            <w:r>
              <w:rPr>
                <w:rFonts w:ascii="Times New Roman" w:eastAsia="Malgun Gothic" w:hAnsi="Times New Roman" w:cs="Times New Roman"/>
                <w:color w:val="000000"/>
                <w:kern w:val="24"/>
                <w:sz w:val="18"/>
                <w:szCs w:val="20"/>
                <w:lang w:val="sv-SE"/>
              </w:rPr>
              <w:t>,2,1,1</w:t>
            </w:r>
            <w:r>
              <w:rPr>
                <w:rFonts w:ascii="Times New Roman" w:hAnsi="Times New Roman" w:cs="Times New Roman"/>
                <w:color w:val="000000"/>
                <w:kern w:val="24"/>
                <w:sz w:val="18"/>
                <w:szCs w:val="20"/>
              </w:rPr>
              <w:t>,8,16</w:t>
            </w:r>
            <w:r>
              <w:rPr>
                <w:rFonts w:ascii="Times New Roman" w:hAnsi="Times New Roman" w:cs="Times New Roman"/>
                <w:color w:val="000000"/>
                <w:sz w:val="18"/>
                <w:szCs w:val="20"/>
              </w:rPr>
              <w:t>)</w:t>
            </w:r>
          </w:p>
          <w:p w14:paraId="211BECD3"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(dH, dV) = (0.5, 0.8)</w:t>
            </w:r>
          </w:p>
        </w:tc>
      </w:tr>
      <w:tr w:rsidR="007C2EE2" w14:paraId="2616D09A" w14:textId="77777777">
        <w:trPr>
          <w:trHeight w:val="64"/>
          <w:jc w:val="center"/>
        </w:trPr>
        <w:tc>
          <w:tcPr>
            <w:tcW w:w="2605" w:type="dxa"/>
            <w:shd w:val="clear" w:color="auto" w:fill="auto"/>
            <w:vAlign w:val="center"/>
          </w:tcPr>
          <w:p w14:paraId="4103BCB1"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Antenna setup and port layouts at UE</w:t>
            </w:r>
          </w:p>
        </w:tc>
        <w:tc>
          <w:tcPr>
            <w:tcW w:w="5291" w:type="dxa"/>
            <w:shd w:val="clear" w:color="auto" w:fill="auto"/>
            <w:noWrap/>
            <w:vAlign w:val="center"/>
          </w:tcPr>
          <w:p w14:paraId="476AA94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- 4 Rx/Tx: (M, N, P, Mg, Ng, Mp, Np) =(1,2,2,1,1,1,2)</w:t>
            </w:r>
          </w:p>
          <w:p w14:paraId="61ED77AA"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- 8 Rx/Tx: (M, N, P, Mg, Ng, Mp, Np) =(1,2,2,1,1,1,2)</w:t>
            </w:r>
          </w:p>
          <w:p w14:paraId="6E14914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(dH, dV) = (0.5, 0.5)</w:t>
            </w:r>
          </w:p>
        </w:tc>
      </w:tr>
      <w:tr w:rsidR="007C2EE2" w14:paraId="074765AD" w14:textId="77777777">
        <w:trPr>
          <w:trHeight w:val="64"/>
          <w:jc w:val="center"/>
        </w:trPr>
        <w:tc>
          <w:tcPr>
            <w:tcW w:w="2605" w:type="dxa"/>
            <w:shd w:val="clear" w:color="auto" w:fill="auto"/>
            <w:vAlign w:val="center"/>
          </w:tcPr>
          <w:p w14:paraId="544D5C37"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Modulation</w:t>
            </w:r>
          </w:p>
        </w:tc>
        <w:tc>
          <w:tcPr>
            <w:tcW w:w="5291" w:type="dxa"/>
            <w:shd w:val="clear" w:color="auto" w:fill="auto"/>
            <w:noWrap/>
            <w:vAlign w:val="center"/>
          </w:tcPr>
          <w:p w14:paraId="36D793A1"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Up to 256QAM</w:t>
            </w:r>
          </w:p>
        </w:tc>
      </w:tr>
      <w:tr w:rsidR="007C2EE2" w14:paraId="2621EE01" w14:textId="77777777">
        <w:trPr>
          <w:trHeight w:val="64"/>
          <w:jc w:val="center"/>
        </w:trPr>
        <w:tc>
          <w:tcPr>
            <w:tcW w:w="2605" w:type="dxa"/>
            <w:shd w:val="clear" w:color="auto" w:fill="auto"/>
            <w:vAlign w:val="center"/>
          </w:tcPr>
          <w:p w14:paraId="59145DAF"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gNB Tx power</w:t>
            </w:r>
          </w:p>
        </w:tc>
        <w:tc>
          <w:tcPr>
            <w:tcW w:w="5291" w:type="dxa"/>
            <w:shd w:val="clear" w:color="auto" w:fill="auto"/>
            <w:noWrap/>
            <w:vAlign w:val="center"/>
          </w:tcPr>
          <w:p w14:paraId="7D5AF97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44 dBm</w:t>
            </w:r>
          </w:p>
        </w:tc>
      </w:tr>
      <w:tr w:rsidR="007C2EE2" w14:paraId="20C42657" w14:textId="77777777">
        <w:trPr>
          <w:trHeight w:val="64"/>
          <w:jc w:val="center"/>
        </w:trPr>
        <w:tc>
          <w:tcPr>
            <w:tcW w:w="2605" w:type="dxa"/>
            <w:shd w:val="clear" w:color="auto" w:fill="auto"/>
            <w:vAlign w:val="center"/>
          </w:tcPr>
          <w:p w14:paraId="7EB45BD3"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UE Tx power</w:t>
            </w:r>
          </w:p>
        </w:tc>
        <w:tc>
          <w:tcPr>
            <w:tcW w:w="5291" w:type="dxa"/>
            <w:shd w:val="clear" w:color="auto" w:fill="auto"/>
            <w:noWrap/>
            <w:vAlign w:val="center"/>
          </w:tcPr>
          <w:p w14:paraId="6833A815"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23dBm</w:t>
            </w:r>
          </w:p>
        </w:tc>
      </w:tr>
      <w:tr w:rsidR="007C2EE2" w14:paraId="3690347C" w14:textId="77777777">
        <w:trPr>
          <w:trHeight w:val="64"/>
          <w:jc w:val="center"/>
        </w:trPr>
        <w:tc>
          <w:tcPr>
            <w:tcW w:w="2605" w:type="dxa"/>
            <w:shd w:val="clear" w:color="auto" w:fill="auto"/>
            <w:vAlign w:val="center"/>
          </w:tcPr>
          <w:p w14:paraId="1FFFA2FC"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gNB antenna height</w:t>
            </w:r>
          </w:p>
        </w:tc>
        <w:tc>
          <w:tcPr>
            <w:tcW w:w="5291" w:type="dxa"/>
            <w:shd w:val="clear" w:color="auto" w:fill="auto"/>
            <w:noWrap/>
            <w:vAlign w:val="center"/>
          </w:tcPr>
          <w:p w14:paraId="2D1C6D0C"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25 m</w:t>
            </w:r>
          </w:p>
        </w:tc>
      </w:tr>
      <w:tr w:rsidR="007C2EE2" w14:paraId="3BC6829A" w14:textId="77777777">
        <w:trPr>
          <w:trHeight w:val="64"/>
          <w:jc w:val="center"/>
        </w:trPr>
        <w:tc>
          <w:tcPr>
            <w:tcW w:w="2605" w:type="dxa"/>
            <w:shd w:val="clear" w:color="auto" w:fill="auto"/>
            <w:vAlign w:val="center"/>
          </w:tcPr>
          <w:p w14:paraId="553A4BB1"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gNB receiver noise figure</w:t>
            </w:r>
          </w:p>
        </w:tc>
        <w:tc>
          <w:tcPr>
            <w:tcW w:w="5291" w:type="dxa"/>
            <w:shd w:val="clear" w:color="auto" w:fill="auto"/>
            <w:noWrap/>
            <w:vAlign w:val="center"/>
          </w:tcPr>
          <w:p w14:paraId="3876AC8E"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lang w:eastAsia="ja-JP"/>
              </w:rPr>
              <w:t>5dB</w:t>
            </w:r>
          </w:p>
        </w:tc>
      </w:tr>
      <w:tr w:rsidR="007C2EE2" w14:paraId="6C2A4E23" w14:textId="77777777">
        <w:trPr>
          <w:trHeight w:val="64"/>
          <w:jc w:val="center"/>
        </w:trPr>
        <w:tc>
          <w:tcPr>
            <w:tcW w:w="2605" w:type="dxa"/>
            <w:shd w:val="clear" w:color="auto" w:fill="auto"/>
            <w:vAlign w:val="center"/>
          </w:tcPr>
          <w:p w14:paraId="498D1E91"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UE receiver noise figure</w:t>
            </w:r>
          </w:p>
        </w:tc>
        <w:tc>
          <w:tcPr>
            <w:tcW w:w="5291" w:type="dxa"/>
            <w:shd w:val="clear" w:color="auto" w:fill="auto"/>
            <w:noWrap/>
            <w:vAlign w:val="center"/>
          </w:tcPr>
          <w:p w14:paraId="45DA8B99"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9dB</w:t>
            </w:r>
          </w:p>
        </w:tc>
      </w:tr>
      <w:tr w:rsidR="007C2EE2" w14:paraId="68C02077" w14:textId="77777777">
        <w:trPr>
          <w:trHeight w:val="64"/>
          <w:jc w:val="center"/>
        </w:trPr>
        <w:tc>
          <w:tcPr>
            <w:tcW w:w="2605" w:type="dxa"/>
            <w:shd w:val="clear" w:color="auto" w:fill="auto"/>
            <w:vAlign w:val="center"/>
          </w:tcPr>
          <w:p w14:paraId="2E048196"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Numerology</w:t>
            </w:r>
          </w:p>
        </w:tc>
        <w:tc>
          <w:tcPr>
            <w:tcW w:w="5291" w:type="dxa"/>
            <w:shd w:val="clear" w:color="auto" w:fill="auto"/>
            <w:noWrap/>
            <w:vAlign w:val="center"/>
          </w:tcPr>
          <w:p w14:paraId="7DEC2E7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14 OFDM symbol per slot, 30kHz SCS</w:t>
            </w:r>
          </w:p>
        </w:tc>
      </w:tr>
      <w:tr w:rsidR="007C2EE2" w14:paraId="4741D012" w14:textId="77777777">
        <w:trPr>
          <w:trHeight w:val="285"/>
          <w:jc w:val="center"/>
        </w:trPr>
        <w:tc>
          <w:tcPr>
            <w:tcW w:w="2605" w:type="dxa"/>
            <w:shd w:val="clear" w:color="auto" w:fill="auto"/>
            <w:vAlign w:val="center"/>
          </w:tcPr>
          <w:p w14:paraId="2DAA51C5"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Bandwidth</w:t>
            </w:r>
          </w:p>
        </w:tc>
        <w:tc>
          <w:tcPr>
            <w:tcW w:w="5291" w:type="dxa"/>
            <w:shd w:val="clear" w:color="auto" w:fill="auto"/>
            <w:noWrap/>
            <w:vAlign w:val="center"/>
          </w:tcPr>
          <w:p w14:paraId="7A0FB28D"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2</w:t>
            </w:r>
            <w:r>
              <w:rPr>
                <w:rFonts w:ascii="Times New Roman" w:hAnsi="Times New Roman" w:cs="Times New Roman"/>
                <w:color w:val="000000"/>
                <w:sz w:val="18"/>
                <w:szCs w:val="20"/>
                <w:lang w:eastAsia="ja-JP"/>
              </w:rPr>
              <w:t>0MHz</w:t>
            </w:r>
            <w:r>
              <w:rPr>
                <w:rFonts w:ascii="Times New Roman" w:hAnsi="Times New Roman" w:cs="Times New Roman"/>
                <w:color w:val="000000"/>
                <w:sz w:val="18"/>
                <w:szCs w:val="20"/>
              </w:rPr>
              <w:t>, 52RBs, 8RBs/subband</w:t>
            </w:r>
          </w:p>
        </w:tc>
      </w:tr>
      <w:tr w:rsidR="007C2EE2" w14:paraId="22FC3331" w14:textId="77777777">
        <w:trPr>
          <w:trHeight w:val="285"/>
          <w:jc w:val="center"/>
        </w:trPr>
        <w:tc>
          <w:tcPr>
            <w:tcW w:w="2605" w:type="dxa"/>
            <w:shd w:val="clear" w:color="auto" w:fill="auto"/>
            <w:vAlign w:val="center"/>
          </w:tcPr>
          <w:p w14:paraId="42D81E54"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UE receiver</w:t>
            </w:r>
          </w:p>
        </w:tc>
        <w:tc>
          <w:tcPr>
            <w:tcW w:w="5291" w:type="dxa"/>
            <w:shd w:val="clear" w:color="auto" w:fill="auto"/>
            <w:noWrap/>
            <w:vAlign w:val="center"/>
          </w:tcPr>
          <w:p w14:paraId="7810438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MMSE-IRC</w:t>
            </w:r>
          </w:p>
        </w:tc>
      </w:tr>
      <w:tr w:rsidR="007C2EE2" w14:paraId="27DCAC44" w14:textId="77777777">
        <w:trPr>
          <w:trHeight w:val="64"/>
          <w:jc w:val="center"/>
        </w:trPr>
        <w:tc>
          <w:tcPr>
            <w:tcW w:w="2605" w:type="dxa"/>
            <w:shd w:val="clear" w:color="auto" w:fill="auto"/>
            <w:vAlign w:val="center"/>
          </w:tcPr>
          <w:p w14:paraId="4044B6D8"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Network Layout</w:t>
            </w:r>
          </w:p>
        </w:tc>
        <w:tc>
          <w:tcPr>
            <w:tcW w:w="5291" w:type="dxa"/>
            <w:shd w:val="clear" w:color="auto" w:fill="auto"/>
            <w:vAlign w:val="center"/>
          </w:tcPr>
          <w:p w14:paraId="2727405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72 UEs per sector (in a total of 21 sectors)</w:t>
            </w:r>
          </w:p>
        </w:tc>
      </w:tr>
      <w:tr w:rsidR="007C2EE2" w14:paraId="5BD04C8E" w14:textId="77777777">
        <w:trPr>
          <w:trHeight w:val="64"/>
          <w:jc w:val="center"/>
        </w:trPr>
        <w:tc>
          <w:tcPr>
            <w:tcW w:w="2605" w:type="dxa"/>
            <w:shd w:val="clear" w:color="auto" w:fill="auto"/>
            <w:vAlign w:val="center"/>
          </w:tcPr>
          <w:p w14:paraId="57C971F0"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PMI/CQI feedback</w:t>
            </w:r>
          </w:p>
        </w:tc>
        <w:tc>
          <w:tcPr>
            <w:tcW w:w="5291" w:type="dxa"/>
            <w:shd w:val="clear" w:color="auto" w:fill="auto"/>
            <w:vAlign w:val="center"/>
          </w:tcPr>
          <w:p w14:paraId="6624D7B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SVD codebook</w:t>
            </w:r>
          </w:p>
          <w:p w14:paraId="2E750F14"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Subband feedback</w:t>
            </w:r>
          </w:p>
        </w:tc>
      </w:tr>
      <w:tr w:rsidR="007C2EE2" w14:paraId="6EBEB157" w14:textId="77777777">
        <w:trPr>
          <w:trHeight w:val="64"/>
          <w:jc w:val="center"/>
        </w:trPr>
        <w:tc>
          <w:tcPr>
            <w:tcW w:w="2605" w:type="dxa"/>
            <w:shd w:val="clear" w:color="auto" w:fill="auto"/>
            <w:vAlign w:val="center"/>
          </w:tcPr>
          <w:p w14:paraId="6115B8B4"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UE distribution</w:t>
            </w:r>
          </w:p>
        </w:tc>
        <w:tc>
          <w:tcPr>
            <w:tcW w:w="5291" w:type="dxa"/>
            <w:shd w:val="clear" w:color="auto" w:fill="auto"/>
            <w:vAlign w:val="center"/>
          </w:tcPr>
          <w:p w14:paraId="195BB86B"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20% outdoor (30km/h)</w:t>
            </w:r>
          </w:p>
        </w:tc>
      </w:tr>
      <w:tr w:rsidR="007C2EE2" w14:paraId="5186C7AE" w14:textId="77777777">
        <w:trPr>
          <w:trHeight w:val="50"/>
          <w:jc w:val="center"/>
        </w:trPr>
        <w:tc>
          <w:tcPr>
            <w:tcW w:w="2605" w:type="dxa"/>
            <w:shd w:val="clear" w:color="auto" w:fill="auto"/>
            <w:vAlign w:val="center"/>
          </w:tcPr>
          <w:p w14:paraId="24A659F5"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Traffic model</w:t>
            </w:r>
          </w:p>
        </w:tc>
        <w:tc>
          <w:tcPr>
            <w:tcW w:w="5291" w:type="dxa"/>
            <w:shd w:val="clear" w:color="auto" w:fill="auto"/>
            <w:vAlign w:val="center"/>
          </w:tcPr>
          <w:p w14:paraId="1CD5CF84"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FTP</w:t>
            </w:r>
          </w:p>
        </w:tc>
      </w:tr>
      <w:tr w:rsidR="007C2EE2" w14:paraId="6A342814" w14:textId="77777777">
        <w:trPr>
          <w:trHeight w:val="205"/>
          <w:jc w:val="center"/>
        </w:trPr>
        <w:tc>
          <w:tcPr>
            <w:tcW w:w="2605" w:type="dxa"/>
            <w:shd w:val="clear" w:color="auto" w:fill="auto"/>
            <w:vAlign w:val="center"/>
          </w:tcPr>
          <w:p w14:paraId="3AA7380D"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CSI feedback delay</w:t>
            </w:r>
          </w:p>
        </w:tc>
        <w:tc>
          <w:tcPr>
            <w:tcW w:w="5291" w:type="dxa"/>
            <w:shd w:val="clear" w:color="auto" w:fill="auto"/>
            <w:vAlign w:val="center"/>
          </w:tcPr>
          <w:p w14:paraId="3C1E1C65"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5ms</w:t>
            </w:r>
          </w:p>
        </w:tc>
      </w:tr>
      <w:tr w:rsidR="007C2EE2" w14:paraId="3E75F163" w14:textId="77777777">
        <w:trPr>
          <w:trHeight w:val="378"/>
          <w:jc w:val="center"/>
        </w:trPr>
        <w:tc>
          <w:tcPr>
            <w:tcW w:w="2605" w:type="dxa"/>
            <w:shd w:val="clear" w:color="auto" w:fill="auto"/>
            <w:vAlign w:val="center"/>
          </w:tcPr>
          <w:p w14:paraId="6DF27BDA"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MIMO scheme</w:t>
            </w:r>
          </w:p>
        </w:tc>
        <w:tc>
          <w:tcPr>
            <w:tcW w:w="5291" w:type="dxa"/>
            <w:shd w:val="clear" w:color="auto" w:fill="auto"/>
            <w:vAlign w:val="center"/>
          </w:tcPr>
          <w:p w14:paraId="0A864C51"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4MU-MIMO with rank adaptation</w:t>
            </w:r>
          </w:p>
          <w:p w14:paraId="5D2A651D"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Maximum rank = 4 per UE</w:t>
            </w:r>
          </w:p>
        </w:tc>
      </w:tr>
      <w:tr w:rsidR="007C2EE2" w14:paraId="78FC4264" w14:textId="77777777">
        <w:trPr>
          <w:trHeight w:val="471"/>
          <w:jc w:val="center"/>
        </w:trPr>
        <w:tc>
          <w:tcPr>
            <w:tcW w:w="2605" w:type="dxa"/>
            <w:shd w:val="clear" w:color="auto" w:fill="auto"/>
            <w:vAlign w:val="center"/>
          </w:tcPr>
          <w:p w14:paraId="4DBA335D"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Performance metrics</w:t>
            </w:r>
          </w:p>
        </w:tc>
        <w:tc>
          <w:tcPr>
            <w:tcW w:w="5291" w:type="dxa"/>
            <w:shd w:val="clear" w:color="auto" w:fill="auto"/>
            <w:vAlign w:val="center"/>
          </w:tcPr>
          <w:p w14:paraId="7B514CCD" w14:textId="77777777" w:rsidR="007C2EE2" w:rsidRDefault="004A139E">
            <w:pPr>
              <w:snapToGrid w:val="0"/>
              <w:jc w:val="center"/>
              <w:rPr>
                <w:rFonts w:ascii="Times New Roman" w:hAnsi="Times New Roman" w:cs="Times New Roman"/>
                <w:color w:val="000000"/>
                <w:sz w:val="18"/>
                <w:szCs w:val="20"/>
              </w:rPr>
            </w:pPr>
            <w:r>
              <w:rPr>
                <w:rFonts w:ascii="Times New Roman" w:hAnsi="Times New Roman" w:cs="Times New Roman"/>
                <w:color w:val="000000"/>
                <w:sz w:val="18"/>
                <w:szCs w:val="20"/>
              </w:rPr>
              <w:t>5%-ile, 95%-ile and Average UPT</w:t>
            </w:r>
          </w:p>
        </w:tc>
      </w:tr>
    </w:tbl>
    <w:p w14:paraId="008BE227" w14:textId="77777777" w:rsidR="007C2EE2" w:rsidRDefault="007C2EE2">
      <w:pPr>
        <w:snapToGrid w:val="0"/>
        <w:spacing w:before="120" w:line="276" w:lineRule="auto"/>
      </w:pPr>
    </w:p>
    <w:p w14:paraId="116FB455" w14:textId="77777777" w:rsidR="007C2EE2" w:rsidRPr="00721974" w:rsidRDefault="004A139E">
      <w:pPr>
        <w:snapToGrid w:val="0"/>
        <w:spacing w:beforeLines="30" w:before="72" w:afterLines="30" w:after="72" w:line="276" w:lineRule="auto"/>
        <w:jc w:val="center"/>
        <w:rPr>
          <w:rFonts w:ascii="Times New Roman" w:eastAsia="微软雅黑" w:hAnsi="Times New Roman" w:cs="Times New Roman"/>
          <w:sz w:val="20"/>
          <w:szCs w:val="20"/>
          <w:u w:val="single"/>
        </w:rPr>
      </w:pPr>
      <w:r w:rsidRPr="00721974">
        <w:rPr>
          <w:rFonts w:ascii="Times New Roman" w:eastAsia="微软雅黑" w:hAnsi="Times New Roman" w:cs="Times New Roman"/>
          <w:b/>
          <w:sz w:val="20"/>
          <w:szCs w:val="20"/>
        </w:rPr>
        <w:t>Table 5-2</w:t>
      </w:r>
      <w:r w:rsidRPr="00721974">
        <w:rPr>
          <w:rFonts w:ascii="Times New Roman" w:eastAsia="微软雅黑" w:hAnsi="Times New Roman" w:cs="Times New Roman"/>
          <w:sz w:val="20"/>
          <w:szCs w:val="20"/>
        </w:rPr>
        <w:t xml:space="preserve"> SLS evaluation assumption for CJT-mTRP deployment scenario</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5418"/>
      </w:tblGrid>
      <w:tr w:rsidR="007C2EE2" w14:paraId="31EA03B7" w14:textId="77777777">
        <w:trPr>
          <w:trHeight w:val="284"/>
          <w:jc w:val="center"/>
        </w:trPr>
        <w:tc>
          <w:tcPr>
            <w:tcW w:w="2677" w:type="dxa"/>
            <w:shd w:val="clear" w:color="auto" w:fill="D9D9D9" w:themeFill="background1" w:themeFillShade="D9"/>
            <w:noWrap/>
            <w:vAlign w:val="center"/>
          </w:tcPr>
          <w:p w14:paraId="0565E345" w14:textId="77777777" w:rsidR="007C2EE2" w:rsidRDefault="004A139E" w:rsidP="00721974">
            <w:pPr>
              <w:snapToGrid w:val="0"/>
              <w:jc w:val="center"/>
              <w:rPr>
                <w:rFonts w:ascii="Times New Roman" w:eastAsia="宋体" w:hAnsi="Times New Roman" w:cs="Times New Roman"/>
                <w:b/>
                <w:bCs/>
                <w:color w:val="000000"/>
                <w:sz w:val="18"/>
                <w:szCs w:val="18"/>
              </w:rPr>
            </w:pPr>
            <w:r>
              <w:rPr>
                <w:rFonts w:ascii="Times New Roman" w:eastAsia="宋体" w:hAnsi="Times New Roman" w:cs="Times New Roman"/>
                <w:b/>
                <w:bCs/>
                <w:color w:val="000000"/>
                <w:sz w:val="18"/>
                <w:szCs w:val="18"/>
              </w:rPr>
              <w:t>Parameter</w:t>
            </w:r>
          </w:p>
        </w:tc>
        <w:tc>
          <w:tcPr>
            <w:tcW w:w="5418" w:type="dxa"/>
            <w:shd w:val="clear" w:color="auto" w:fill="D9D9D9" w:themeFill="background1" w:themeFillShade="D9"/>
            <w:noWrap/>
            <w:vAlign w:val="center"/>
          </w:tcPr>
          <w:p w14:paraId="30CC8A7F" w14:textId="77777777" w:rsidR="007C2EE2" w:rsidRDefault="004A139E" w:rsidP="00721974">
            <w:pPr>
              <w:snapToGrid w:val="0"/>
              <w:jc w:val="center"/>
              <w:rPr>
                <w:rFonts w:ascii="Times New Roman" w:eastAsia="宋体" w:hAnsi="Times New Roman" w:cs="Times New Roman"/>
                <w:b/>
                <w:bCs/>
                <w:color w:val="000000"/>
                <w:sz w:val="18"/>
                <w:szCs w:val="18"/>
              </w:rPr>
            </w:pPr>
            <w:r>
              <w:rPr>
                <w:rFonts w:ascii="Times New Roman" w:eastAsia="宋体" w:hAnsi="Times New Roman" w:cs="Times New Roman"/>
                <w:b/>
                <w:bCs/>
                <w:color w:val="000000"/>
                <w:sz w:val="18"/>
                <w:szCs w:val="18"/>
              </w:rPr>
              <w:t>Value</w:t>
            </w:r>
          </w:p>
        </w:tc>
      </w:tr>
      <w:tr w:rsidR="007C2EE2" w14:paraId="565D86CF" w14:textId="77777777">
        <w:trPr>
          <w:trHeight w:val="91"/>
          <w:jc w:val="center"/>
        </w:trPr>
        <w:tc>
          <w:tcPr>
            <w:tcW w:w="2677" w:type="dxa"/>
            <w:shd w:val="clear" w:color="000000" w:fill="FFFFFF"/>
            <w:vAlign w:val="center"/>
          </w:tcPr>
          <w:p w14:paraId="799D4FF1"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Carrier Frequency</w:t>
            </w:r>
          </w:p>
        </w:tc>
        <w:tc>
          <w:tcPr>
            <w:tcW w:w="5418" w:type="dxa"/>
            <w:shd w:val="clear" w:color="auto" w:fill="FFFFFF"/>
            <w:noWrap/>
            <w:vAlign w:val="center"/>
          </w:tcPr>
          <w:p w14:paraId="2310CB8C"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18"/>
              </w:rPr>
              <w:t>2GHz</w:t>
            </w:r>
          </w:p>
        </w:tc>
      </w:tr>
      <w:tr w:rsidR="007C2EE2" w14:paraId="6CF6355D" w14:textId="77777777">
        <w:trPr>
          <w:trHeight w:val="285"/>
          <w:jc w:val="center"/>
        </w:trPr>
        <w:tc>
          <w:tcPr>
            <w:tcW w:w="2677" w:type="dxa"/>
            <w:shd w:val="clear" w:color="000000" w:fill="FFFFFF"/>
            <w:vAlign w:val="center"/>
          </w:tcPr>
          <w:p w14:paraId="5D09A1F1"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Channel Model</w:t>
            </w:r>
          </w:p>
        </w:tc>
        <w:tc>
          <w:tcPr>
            <w:tcW w:w="5418" w:type="dxa"/>
            <w:shd w:val="clear" w:color="auto" w:fill="FFFFFF"/>
            <w:noWrap/>
            <w:vAlign w:val="center"/>
          </w:tcPr>
          <w:p w14:paraId="55968639"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According to the TR 38.901</w:t>
            </w:r>
          </w:p>
          <w:p w14:paraId="0AA81339" w14:textId="77777777" w:rsidR="007C2EE2" w:rsidRDefault="004A139E" w:rsidP="00721974">
            <w:pPr>
              <w:pStyle w:val="TAL"/>
              <w:snapToGrid w:val="0"/>
              <w:jc w:val="center"/>
              <w:rPr>
                <w:rFonts w:ascii="Times New Roman" w:eastAsia="宋体" w:hAnsi="Times New Roman" w:cs="Times New Roman"/>
                <w:color w:val="000000"/>
                <w:szCs w:val="18"/>
              </w:rPr>
            </w:pPr>
            <w:r>
              <w:rPr>
                <w:rFonts w:ascii="Times New Roman" w:hAnsi="Times New Roman" w:cs="Times New Roman"/>
                <w:color w:val="000000"/>
                <w:szCs w:val="18"/>
                <w:lang w:eastAsia="ja-JP"/>
              </w:rPr>
              <w:t>3D UMa</w:t>
            </w:r>
          </w:p>
        </w:tc>
      </w:tr>
      <w:tr w:rsidR="007C2EE2" w14:paraId="662F190E" w14:textId="77777777">
        <w:trPr>
          <w:trHeight w:val="59"/>
          <w:jc w:val="center"/>
        </w:trPr>
        <w:tc>
          <w:tcPr>
            <w:tcW w:w="2677" w:type="dxa"/>
            <w:shd w:val="clear" w:color="000000" w:fill="FFFFFF"/>
            <w:vAlign w:val="center"/>
          </w:tcPr>
          <w:p w14:paraId="3C6A31D0"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Scenario</w:t>
            </w:r>
          </w:p>
        </w:tc>
        <w:tc>
          <w:tcPr>
            <w:tcW w:w="5418" w:type="dxa"/>
            <w:shd w:val="clear" w:color="auto" w:fill="FFFFFF"/>
            <w:noWrap/>
            <w:vAlign w:val="center"/>
          </w:tcPr>
          <w:p w14:paraId="5105CA4F"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18"/>
              </w:rPr>
              <w:t>Dense urban</w:t>
            </w:r>
          </w:p>
        </w:tc>
      </w:tr>
      <w:tr w:rsidR="007C2EE2" w14:paraId="471A33C6" w14:textId="77777777">
        <w:trPr>
          <w:trHeight w:val="90"/>
          <w:jc w:val="center"/>
        </w:trPr>
        <w:tc>
          <w:tcPr>
            <w:tcW w:w="2677" w:type="dxa"/>
            <w:shd w:val="clear" w:color="000000" w:fill="FFFFFF"/>
            <w:vAlign w:val="center"/>
          </w:tcPr>
          <w:p w14:paraId="37E11E8E"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Antenna setup and port layouts at gNB</w:t>
            </w:r>
          </w:p>
        </w:tc>
        <w:tc>
          <w:tcPr>
            <w:tcW w:w="5418" w:type="dxa"/>
            <w:shd w:val="clear" w:color="auto" w:fill="FFFFFF"/>
            <w:vAlign w:val="center"/>
          </w:tcPr>
          <w:p w14:paraId="525DF9B6"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 xml:space="preserve">- 16 ports: </w:t>
            </w:r>
            <w:r>
              <w:rPr>
                <w:rFonts w:ascii="Times New Roman" w:hAnsi="Times New Roman" w:cs="Times New Roman"/>
                <w:color w:val="000000"/>
                <w:sz w:val="18"/>
                <w:szCs w:val="20"/>
              </w:rPr>
              <w:t xml:space="preserve">(M, N, P, Mg, Ng, Mp, </w:t>
            </w:r>
            <w:r>
              <w:rPr>
                <w:rFonts w:ascii="Times New Roman" w:eastAsia="Malgun Gothic" w:hAnsi="Times New Roman" w:cs="Times New Roman"/>
                <w:color w:val="000000"/>
                <w:kern w:val="24"/>
                <w:sz w:val="18"/>
                <w:szCs w:val="20"/>
                <w:lang w:val="sv-SE"/>
              </w:rPr>
              <w:t>Np) =(</w:t>
            </w:r>
            <w:r>
              <w:rPr>
                <w:rFonts w:ascii="Times New Roman" w:hAnsi="Times New Roman" w:cs="Times New Roman"/>
                <w:color w:val="000000"/>
                <w:kern w:val="24"/>
                <w:sz w:val="18"/>
                <w:szCs w:val="20"/>
              </w:rPr>
              <w:t>6</w:t>
            </w:r>
            <w:r>
              <w:rPr>
                <w:rFonts w:ascii="Times New Roman" w:eastAsia="Malgun Gothic" w:hAnsi="Times New Roman" w:cs="Times New Roman"/>
                <w:color w:val="000000"/>
                <w:kern w:val="24"/>
                <w:sz w:val="18"/>
                <w:szCs w:val="20"/>
                <w:lang w:val="sv-SE"/>
              </w:rPr>
              <w:t>,</w:t>
            </w:r>
            <w:r>
              <w:rPr>
                <w:rFonts w:ascii="Times New Roman" w:hAnsi="Times New Roman" w:cs="Times New Roman"/>
                <w:color w:val="000000"/>
                <w:kern w:val="24"/>
                <w:sz w:val="18"/>
                <w:szCs w:val="20"/>
              </w:rPr>
              <w:t>4</w:t>
            </w:r>
            <w:r>
              <w:rPr>
                <w:rFonts w:ascii="Times New Roman" w:eastAsia="Malgun Gothic" w:hAnsi="Times New Roman" w:cs="Times New Roman"/>
                <w:color w:val="000000"/>
                <w:kern w:val="24"/>
                <w:sz w:val="18"/>
                <w:szCs w:val="20"/>
                <w:lang w:val="sv-SE"/>
              </w:rPr>
              <w:t>,2,1,1</w:t>
            </w:r>
            <w:r>
              <w:rPr>
                <w:rFonts w:ascii="Times New Roman" w:hAnsi="Times New Roman" w:cs="Times New Roman"/>
                <w:color w:val="000000"/>
                <w:kern w:val="24"/>
                <w:sz w:val="18"/>
                <w:szCs w:val="20"/>
              </w:rPr>
              <w:t>,2,4</w:t>
            </w:r>
            <w:r>
              <w:rPr>
                <w:rFonts w:ascii="Times New Roman" w:hAnsi="Times New Roman" w:cs="Times New Roman"/>
                <w:color w:val="000000"/>
                <w:sz w:val="18"/>
                <w:szCs w:val="20"/>
              </w:rPr>
              <w:t>)</w:t>
            </w:r>
            <w:r>
              <w:rPr>
                <w:rFonts w:ascii="Times New Roman" w:eastAsia="宋体" w:hAnsi="Times New Roman" w:cs="Times New Roman"/>
                <w:color w:val="000000"/>
                <w:sz w:val="18"/>
                <w:szCs w:val="18"/>
              </w:rPr>
              <w:t>, (dH,dV) = (0.5, 0.8)λ</w:t>
            </w:r>
          </w:p>
          <w:p w14:paraId="7A41A9EF"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20"/>
              </w:rPr>
              <w:t xml:space="preserve">-  32 ports: (M, N, P, Mg, Ng, Mp, </w:t>
            </w:r>
            <w:r>
              <w:rPr>
                <w:rFonts w:ascii="Times New Roman" w:eastAsia="Malgun Gothic" w:hAnsi="Times New Roman" w:cs="Times New Roman"/>
                <w:color w:val="000000"/>
                <w:kern w:val="24"/>
                <w:sz w:val="18"/>
                <w:szCs w:val="20"/>
                <w:lang w:val="sv-SE"/>
              </w:rPr>
              <w:t>Np) =(</w:t>
            </w:r>
            <w:r>
              <w:rPr>
                <w:rFonts w:ascii="Times New Roman" w:hAnsi="Times New Roman" w:cs="Times New Roman"/>
                <w:color w:val="000000"/>
                <w:kern w:val="24"/>
                <w:sz w:val="18"/>
                <w:szCs w:val="20"/>
              </w:rPr>
              <w:t>12</w:t>
            </w:r>
            <w:r>
              <w:rPr>
                <w:rFonts w:ascii="Times New Roman" w:eastAsia="Malgun Gothic" w:hAnsi="Times New Roman" w:cs="Times New Roman"/>
                <w:color w:val="000000"/>
                <w:kern w:val="24"/>
                <w:sz w:val="18"/>
                <w:szCs w:val="20"/>
                <w:lang w:val="sv-SE"/>
              </w:rPr>
              <w:t>,</w:t>
            </w:r>
            <w:r>
              <w:rPr>
                <w:rFonts w:ascii="Times New Roman" w:hAnsi="Times New Roman" w:cs="Times New Roman"/>
                <w:color w:val="000000"/>
                <w:kern w:val="24"/>
                <w:sz w:val="18"/>
                <w:szCs w:val="20"/>
              </w:rPr>
              <w:t>4</w:t>
            </w:r>
            <w:r>
              <w:rPr>
                <w:rFonts w:ascii="Times New Roman" w:eastAsia="Malgun Gothic" w:hAnsi="Times New Roman" w:cs="Times New Roman"/>
                <w:color w:val="000000"/>
                <w:kern w:val="24"/>
                <w:sz w:val="18"/>
                <w:szCs w:val="20"/>
                <w:lang w:val="sv-SE"/>
              </w:rPr>
              <w:t>,2,1,1</w:t>
            </w:r>
            <w:r>
              <w:rPr>
                <w:rFonts w:ascii="Times New Roman" w:hAnsi="Times New Roman" w:cs="Times New Roman"/>
                <w:color w:val="000000"/>
                <w:kern w:val="24"/>
                <w:sz w:val="18"/>
                <w:szCs w:val="20"/>
              </w:rPr>
              <w:t>,4,4</w:t>
            </w:r>
            <w:r>
              <w:rPr>
                <w:rFonts w:ascii="Times New Roman" w:hAnsi="Times New Roman" w:cs="Times New Roman"/>
                <w:color w:val="000000"/>
                <w:sz w:val="18"/>
                <w:szCs w:val="20"/>
              </w:rPr>
              <w:t>)</w:t>
            </w:r>
          </w:p>
          <w:p w14:paraId="44212877"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(dH, dV) = (0.5, 0.8) λ</w:t>
            </w:r>
          </w:p>
        </w:tc>
      </w:tr>
      <w:tr w:rsidR="007C2EE2" w14:paraId="307E7E29" w14:textId="77777777">
        <w:trPr>
          <w:trHeight w:val="64"/>
          <w:jc w:val="center"/>
        </w:trPr>
        <w:tc>
          <w:tcPr>
            <w:tcW w:w="2677" w:type="dxa"/>
            <w:shd w:val="clear" w:color="000000" w:fill="FFFFFF"/>
            <w:vAlign w:val="center"/>
          </w:tcPr>
          <w:p w14:paraId="534104E6"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Antenna setup and port layouts at UE</w:t>
            </w:r>
          </w:p>
        </w:tc>
        <w:tc>
          <w:tcPr>
            <w:tcW w:w="5418" w:type="dxa"/>
            <w:shd w:val="clear" w:color="auto" w:fill="FFFFFF"/>
            <w:noWrap/>
            <w:vAlign w:val="center"/>
          </w:tcPr>
          <w:p w14:paraId="0065E0D2"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 N, P, Mg, Ng, Mp, Np) =(1,2,2,1,1,1,2)</w:t>
            </w:r>
          </w:p>
          <w:p w14:paraId="5F6E9607"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(dH, dV) = (0.5, 0.5)</w:t>
            </w:r>
          </w:p>
        </w:tc>
      </w:tr>
      <w:tr w:rsidR="007C2EE2" w14:paraId="7F32F258" w14:textId="77777777">
        <w:trPr>
          <w:trHeight w:val="64"/>
          <w:jc w:val="center"/>
        </w:trPr>
        <w:tc>
          <w:tcPr>
            <w:tcW w:w="2677" w:type="dxa"/>
            <w:shd w:val="clear" w:color="000000" w:fill="FFFFFF"/>
            <w:vAlign w:val="center"/>
          </w:tcPr>
          <w:p w14:paraId="7FBAB72B" w14:textId="77777777" w:rsidR="007C2EE2" w:rsidRDefault="004A139E" w:rsidP="00721974">
            <w:pPr>
              <w:snapToGrid w:val="0"/>
              <w:jc w:val="center"/>
              <w:textAlignment w:val="center"/>
              <w:rPr>
                <w:rFonts w:ascii="Times New Roman" w:eastAsia="宋体" w:hAnsi="Times New Roman" w:cs="Times New Roman"/>
                <w:color w:val="000000"/>
                <w:sz w:val="18"/>
                <w:szCs w:val="18"/>
              </w:rPr>
            </w:pPr>
            <w:r>
              <w:rPr>
                <w:rFonts w:ascii="Times New Roman" w:eastAsia="等线" w:hAnsi="Times New Roman" w:cs="Times New Roman"/>
                <w:color w:val="493118"/>
                <w:sz w:val="18"/>
                <w:szCs w:val="18"/>
                <w:lang w:bidi="ar"/>
              </w:rPr>
              <w:t>Modulation</w:t>
            </w:r>
          </w:p>
        </w:tc>
        <w:tc>
          <w:tcPr>
            <w:tcW w:w="5418" w:type="dxa"/>
            <w:shd w:val="clear" w:color="auto" w:fill="FFFFFF"/>
            <w:noWrap/>
            <w:vAlign w:val="center"/>
          </w:tcPr>
          <w:p w14:paraId="3911E961" w14:textId="77777777" w:rsidR="007C2EE2" w:rsidRDefault="004A139E" w:rsidP="00721974">
            <w:pPr>
              <w:snapToGrid w:val="0"/>
              <w:jc w:val="center"/>
              <w:textAlignment w:val="center"/>
              <w:rPr>
                <w:rFonts w:ascii="Times New Roman" w:eastAsia="宋体" w:hAnsi="Times New Roman" w:cs="Times New Roman"/>
                <w:color w:val="000000"/>
                <w:sz w:val="18"/>
                <w:szCs w:val="18"/>
              </w:rPr>
            </w:pPr>
            <w:r>
              <w:rPr>
                <w:rFonts w:ascii="Times New Roman" w:eastAsia="等线" w:hAnsi="Times New Roman" w:cs="Times New Roman"/>
                <w:color w:val="493118"/>
                <w:sz w:val="18"/>
                <w:szCs w:val="18"/>
                <w:lang w:bidi="ar"/>
              </w:rPr>
              <w:t>Up to 256QAM</w:t>
            </w:r>
          </w:p>
        </w:tc>
      </w:tr>
      <w:tr w:rsidR="007C2EE2" w14:paraId="0C852931" w14:textId="77777777">
        <w:trPr>
          <w:trHeight w:val="64"/>
          <w:jc w:val="center"/>
        </w:trPr>
        <w:tc>
          <w:tcPr>
            <w:tcW w:w="2677" w:type="dxa"/>
            <w:shd w:val="clear" w:color="000000" w:fill="FFFFFF"/>
            <w:vAlign w:val="center"/>
          </w:tcPr>
          <w:p w14:paraId="60881E71"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BS Tx power</w:t>
            </w:r>
          </w:p>
        </w:tc>
        <w:tc>
          <w:tcPr>
            <w:tcW w:w="5418" w:type="dxa"/>
            <w:shd w:val="clear" w:color="auto" w:fill="FFFFFF"/>
            <w:noWrap/>
            <w:vAlign w:val="center"/>
          </w:tcPr>
          <w:p w14:paraId="6104B448"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4</w:t>
            </w:r>
            <w:r>
              <w:rPr>
                <w:rFonts w:ascii="Times New Roman" w:hAnsi="Times New Roman" w:cs="Times New Roman"/>
                <w:color w:val="000000"/>
                <w:sz w:val="18"/>
                <w:szCs w:val="18"/>
              </w:rPr>
              <w:t>6</w:t>
            </w:r>
            <w:r>
              <w:rPr>
                <w:rFonts w:ascii="Times New Roman" w:eastAsia="宋体" w:hAnsi="Times New Roman" w:cs="Times New Roman"/>
                <w:color w:val="000000"/>
                <w:sz w:val="18"/>
                <w:szCs w:val="18"/>
              </w:rPr>
              <w:t xml:space="preserve"> dBm</w:t>
            </w:r>
          </w:p>
        </w:tc>
      </w:tr>
      <w:tr w:rsidR="007C2EE2" w14:paraId="43416568" w14:textId="77777777">
        <w:trPr>
          <w:trHeight w:val="64"/>
          <w:jc w:val="center"/>
        </w:trPr>
        <w:tc>
          <w:tcPr>
            <w:tcW w:w="2677" w:type="dxa"/>
            <w:shd w:val="clear" w:color="000000" w:fill="FFFFFF"/>
            <w:vAlign w:val="center"/>
          </w:tcPr>
          <w:p w14:paraId="6B89FA04"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UE Tx power</w:t>
            </w:r>
          </w:p>
        </w:tc>
        <w:tc>
          <w:tcPr>
            <w:tcW w:w="5418" w:type="dxa"/>
            <w:shd w:val="clear" w:color="auto" w:fill="FFFFFF"/>
            <w:noWrap/>
            <w:vAlign w:val="center"/>
          </w:tcPr>
          <w:p w14:paraId="274954A7"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23dBm</w:t>
            </w:r>
          </w:p>
        </w:tc>
      </w:tr>
      <w:tr w:rsidR="007C2EE2" w14:paraId="53B38492" w14:textId="77777777">
        <w:trPr>
          <w:trHeight w:val="64"/>
          <w:jc w:val="center"/>
        </w:trPr>
        <w:tc>
          <w:tcPr>
            <w:tcW w:w="2677" w:type="dxa"/>
            <w:shd w:val="clear" w:color="000000" w:fill="FFFFFF"/>
            <w:vAlign w:val="center"/>
          </w:tcPr>
          <w:p w14:paraId="3EDC1F59"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BS antenna height</w:t>
            </w:r>
          </w:p>
        </w:tc>
        <w:tc>
          <w:tcPr>
            <w:tcW w:w="5418" w:type="dxa"/>
            <w:shd w:val="clear" w:color="auto" w:fill="FFFFFF"/>
            <w:noWrap/>
            <w:vAlign w:val="center"/>
          </w:tcPr>
          <w:p w14:paraId="1DAB67A2"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25 m</w:t>
            </w:r>
          </w:p>
        </w:tc>
      </w:tr>
      <w:tr w:rsidR="007C2EE2" w14:paraId="73627ACB" w14:textId="77777777">
        <w:trPr>
          <w:trHeight w:val="64"/>
          <w:jc w:val="center"/>
        </w:trPr>
        <w:tc>
          <w:tcPr>
            <w:tcW w:w="2677" w:type="dxa"/>
            <w:shd w:val="clear" w:color="000000" w:fill="FFFFFF"/>
            <w:vAlign w:val="center"/>
          </w:tcPr>
          <w:p w14:paraId="28F1C343"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BS receiver noise figure</w:t>
            </w:r>
          </w:p>
        </w:tc>
        <w:tc>
          <w:tcPr>
            <w:tcW w:w="5418" w:type="dxa"/>
            <w:shd w:val="clear" w:color="auto" w:fill="FFFFFF"/>
            <w:noWrap/>
            <w:vAlign w:val="center"/>
          </w:tcPr>
          <w:p w14:paraId="5DDC9C3B"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18"/>
                <w:lang w:eastAsia="ja-JP"/>
              </w:rPr>
              <w:t>5dB</w:t>
            </w:r>
          </w:p>
        </w:tc>
      </w:tr>
      <w:tr w:rsidR="007C2EE2" w14:paraId="2C1D2DDC" w14:textId="77777777">
        <w:trPr>
          <w:trHeight w:val="64"/>
          <w:jc w:val="center"/>
        </w:trPr>
        <w:tc>
          <w:tcPr>
            <w:tcW w:w="2677" w:type="dxa"/>
            <w:shd w:val="clear" w:color="000000" w:fill="FFFFFF"/>
            <w:vAlign w:val="center"/>
          </w:tcPr>
          <w:p w14:paraId="240DA526"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UE receiver noise figure</w:t>
            </w:r>
          </w:p>
        </w:tc>
        <w:tc>
          <w:tcPr>
            <w:tcW w:w="5418" w:type="dxa"/>
            <w:shd w:val="clear" w:color="auto" w:fill="FFFFFF"/>
            <w:noWrap/>
            <w:vAlign w:val="center"/>
          </w:tcPr>
          <w:p w14:paraId="3A856FC2"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9dB</w:t>
            </w:r>
          </w:p>
        </w:tc>
      </w:tr>
      <w:tr w:rsidR="007C2EE2" w14:paraId="0784C0F1" w14:textId="77777777">
        <w:trPr>
          <w:trHeight w:val="64"/>
          <w:jc w:val="center"/>
        </w:trPr>
        <w:tc>
          <w:tcPr>
            <w:tcW w:w="2677" w:type="dxa"/>
            <w:shd w:val="clear" w:color="000000" w:fill="FFFFFF"/>
            <w:vAlign w:val="center"/>
          </w:tcPr>
          <w:p w14:paraId="7675163A"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Numerology</w:t>
            </w:r>
          </w:p>
        </w:tc>
        <w:tc>
          <w:tcPr>
            <w:tcW w:w="5418" w:type="dxa"/>
            <w:shd w:val="clear" w:color="auto" w:fill="FFFFFF"/>
            <w:noWrap/>
            <w:vAlign w:val="center"/>
          </w:tcPr>
          <w:p w14:paraId="04E2AFF3"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14 OFDM symbol slot, 30kHz SCS</w:t>
            </w:r>
          </w:p>
        </w:tc>
      </w:tr>
      <w:tr w:rsidR="007C2EE2" w14:paraId="2952232B" w14:textId="77777777">
        <w:trPr>
          <w:trHeight w:val="285"/>
          <w:jc w:val="center"/>
        </w:trPr>
        <w:tc>
          <w:tcPr>
            <w:tcW w:w="2677" w:type="dxa"/>
            <w:shd w:val="clear" w:color="000000" w:fill="FFFFFF"/>
            <w:vAlign w:val="center"/>
          </w:tcPr>
          <w:p w14:paraId="0AEA91DB"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Bandwidth</w:t>
            </w:r>
          </w:p>
        </w:tc>
        <w:tc>
          <w:tcPr>
            <w:tcW w:w="5418" w:type="dxa"/>
            <w:shd w:val="clear" w:color="auto" w:fill="FFFFFF"/>
            <w:noWrap/>
            <w:vAlign w:val="center"/>
          </w:tcPr>
          <w:p w14:paraId="63EA29CA"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18"/>
                <w:lang w:eastAsia="ja-JP"/>
              </w:rPr>
              <w:t>20MHz</w:t>
            </w:r>
          </w:p>
        </w:tc>
      </w:tr>
      <w:tr w:rsidR="007C2EE2" w14:paraId="312C3C75" w14:textId="77777777">
        <w:trPr>
          <w:trHeight w:val="285"/>
          <w:jc w:val="center"/>
        </w:trPr>
        <w:tc>
          <w:tcPr>
            <w:tcW w:w="2677" w:type="dxa"/>
            <w:shd w:val="clear" w:color="000000" w:fill="FFFFFF"/>
            <w:vAlign w:val="center"/>
          </w:tcPr>
          <w:p w14:paraId="4F1BFAF7"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UE receiver</w:t>
            </w:r>
          </w:p>
        </w:tc>
        <w:tc>
          <w:tcPr>
            <w:tcW w:w="5418" w:type="dxa"/>
            <w:shd w:val="clear" w:color="auto" w:fill="FFFFFF"/>
            <w:noWrap/>
            <w:vAlign w:val="center"/>
          </w:tcPr>
          <w:p w14:paraId="7F77C778"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MMSE-IRC</w:t>
            </w:r>
          </w:p>
        </w:tc>
      </w:tr>
      <w:tr w:rsidR="007C2EE2" w14:paraId="74A12B7E" w14:textId="77777777">
        <w:trPr>
          <w:trHeight w:val="64"/>
          <w:jc w:val="center"/>
        </w:trPr>
        <w:tc>
          <w:tcPr>
            <w:tcW w:w="2677" w:type="dxa"/>
            <w:shd w:val="clear" w:color="000000" w:fill="FFFFFF"/>
            <w:vAlign w:val="center"/>
          </w:tcPr>
          <w:p w14:paraId="091823B5"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Network Layout</w:t>
            </w:r>
          </w:p>
        </w:tc>
        <w:tc>
          <w:tcPr>
            <w:tcW w:w="5418" w:type="dxa"/>
            <w:shd w:val="clear" w:color="auto" w:fill="FFFFFF"/>
            <w:vAlign w:val="center"/>
          </w:tcPr>
          <w:p w14:paraId="7E1E8A00"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18"/>
              </w:rPr>
              <w:t>20</w:t>
            </w:r>
            <w:r>
              <w:rPr>
                <w:rFonts w:ascii="Times New Roman" w:eastAsia="宋体" w:hAnsi="Times New Roman" w:cs="Times New Roman"/>
                <w:color w:val="000000"/>
                <w:sz w:val="18"/>
                <w:szCs w:val="18"/>
              </w:rPr>
              <w:t xml:space="preserve"> UEs per cell (in a total of 21 cells)</w:t>
            </w:r>
          </w:p>
        </w:tc>
      </w:tr>
      <w:tr w:rsidR="007C2EE2" w14:paraId="2827A986" w14:textId="77777777">
        <w:trPr>
          <w:trHeight w:val="64"/>
          <w:jc w:val="center"/>
        </w:trPr>
        <w:tc>
          <w:tcPr>
            <w:tcW w:w="2677" w:type="dxa"/>
            <w:shd w:val="clear" w:color="000000" w:fill="FFFFFF"/>
            <w:vAlign w:val="center"/>
          </w:tcPr>
          <w:p w14:paraId="660E6699"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lastRenderedPageBreak/>
              <w:t>PMI/CQI feedback</w:t>
            </w:r>
          </w:p>
        </w:tc>
        <w:tc>
          <w:tcPr>
            <w:tcW w:w="5418" w:type="dxa"/>
            <w:shd w:val="clear" w:color="auto" w:fill="FFFFFF"/>
            <w:vAlign w:val="center"/>
          </w:tcPr>
          <w:p w14:paraId="5182F617"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Subband</w:t>
            </w:r>
          </w:p>
        </w:tc>
      </w:tr>
      <w:tr w:rsidR="007C2EE2" w14:paraId="1D71CCC1" w14:textId="77777777">
        <w:trPr>
          <w:trHeight w:val="50"/>
          <w:jc w:val="center"/>
        </w:trPr>
        <w:tc>
          <w:tcPr>
            <w:tcW w:w="2677" w:type="dxa"/>
            <w:shd w:val="clear" w:color="000000" w:fill="FFFFFF"/>
            <w:vAlign w:val="center"/>
          </w:tcPr>
          <w:p w14:paraId="149F3301"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Traffic model</w:t>
            </w:r>
          </w:p>
        </w:tc>
        <w:tc>
          <w:tcPr>
            <w:tcW w:w="5418" w:type="dxa"/>
            <w:shd w:val="clear" w:color="auto" w:fill="FFFFFF"/>
            <w:vAlign w:val="center"/>
          </w:tcPr>
          <w:p w14:paraId="3A745F1E"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18"/>
              </w:rPr>
              <w:t>FTP-1</w:t>
            </w:r>
          </w:p>
        </w:tc>
      </w:tr>
      <w:tr w:rsidR="007C2EE2" w14:paraId="04B4E9B1" w14:textId="77777777">
        <w:trPr>
          <w:trHeight w:val="378"/>
          <w:jc w:val="center"/>
        </w:trPr>
        <w:tc>
          <w:tcPr>
            <w:tcW w:w="2677" w:type="dxa"/>
            <w:shd w:val="clear" w:color="000000" w:fill="FFFFFF"/>
            <w:vAlign w:val="center"/>
          </w:tcPr>
          <w:p w14:paraId="31C8CD33"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MIMO scheme</w:t>
            </w:r>
          </w:p>
        </w:tc>
        <w:tc>
          <w:tcPr>
            <w:tcW w:w="5418" w:type="dxa"/>
            <w:shd w:val="clear" w:color="auto" w:fill="FFFFFF"/>
            <w:vAlign w:val="center"/>
          </w:tcPr>
          <w:p w14:paraId="7F74E322"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hAnsi="Times New Roman" w:cs="Times New Roman"/>
                <w:color w:val="000000"/>
                <w:sz w:val="18"/>
                <w:szCs w:val="18"/>
              </w:rPr>
              <w:t>SU/M</w:t>
            </w:r>
            <w:r>
              <w:rPr>
                <w:rFonts w:ascii="Times New Roman" w:eastAsia="宋体" w:hAnsi="Times New Roman" w:cs="Times New Roman"/>
                <w:color w:val="000000"/>
                <w:sz w:val="18"/>
                <w:szCs w:val="18"/>
              </w:rPr>
              <w:t>U-MIMO with rank adaptation</w:t>
            </w:r>
          </w:p>
          <w:p w14:paraId="423A85BD"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Maximum rank = 4 per UE</w:t>
            </w:r>
          </w:p>
          <w:p w14:paraId="5A297D33"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 xml:space="preserve">SU = </w:t>
            </w:r>
            <w:r>
              <w:rPr>
                <w:rFonts w:ascii="Times New Roman" w:hAnsi="Times New Roman" w:cs="Times New Roman"/>
                <w:color w:val="000000"/>
                <w:sz w:val="18"/>
                <w:szCs w:val="18"/>
              </w:rPr>
              <w:t>30</w:t>
            </w:r>
            <w:r>
              <w:rPr>
                <w:rFonts w:ascii="Times New Roman" w:eastAsia="宋体" w:hAnsi="Times New Roman" w:cs="Times New Roman"/>
                <w:color w:val="000000"/>
                <w:sz w:val="18"/>
                <w:szCs w:val="18"/>
              </w:rPr>
              <w:t>%, MU = 50~70%</w:t>
            </w:r>
          </w:p>
        </w:tc>
      </w:tr>
      <w:tr w:rsidR="007C2EE2" w14:paraId="432EE6B9" w14:textId="77777777">
        <w:trPr>
          <w:trHeight w:val="471"/>
          <w:jc w:val="center"/>
        </w:trPr>
        <w:tc>
          <w:tcPr>
            <w:tcW w:w="2677" w:type="dxa"/>
            <w:shd w:val="clear" w:color="000000" w:fill="FFFFFF"/>
            <w:vAlign w:val="center"/>
          </w:tcPr>
          <w:p w14:paraId="2B75EED0"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Performance metrics</w:t>
            </w:r>
          </w:p>
        </w:tc>
        <w:tc>
          <w:tcPr>
            <w:tcW w:w="5418" w:type="dxa"/>
            <w:shd w:val="clear" w:color="auto" w:fill="FFFFFF"/>
            <w:vAlign w:val="center"/>
          </w:tcPr>
          <w:p w14:paraId="66576E49" w14:textId="77777777" w:rsidR="007C2EE2" w:rsidRDefault="004A139E" w:rsidP="00721974">
            <w:pPr>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Average UPT and cell-edge/95%-ile UPT</w:t>
            </w:r>
          </w:p>
        </w:tc>
      </w:tr>
    </w:tbl>
    <w:p w14:paraId="795618E0" w14:textId="77777777" w:rsidR="007C2EE2" w:rsidRDefault="007C2EE2">
      <w:pPr>
        <w:snapToGrid w:val="0"/>
        <w:spacing w:before="120" w:line="276" w:lineRule="auto"/>
      </w:pPr>
    </w:p>
    <w:p w14:paraId="77054920" w14:textId="77777777" w:rsidR="007C2EE2" w:rsidRPr="00721974" w:rsidRDefault="004A139E">
      <w:pPr>
        <w:snapToGrid w:val="0"/>
        <w:spacing w:beforeLines="30" w:before="72" w:afterLines="30" w:after="72" w:line="276" w:lineRule="auto"/>
        <w:jc w:val="center"/>
        <w:rPr>
          <w:rFonts w:ascii="Times New Roman" w:eastAsia="微软雅黑" w:hAnsi="Times New Roman" w:cs="Times New Roman"/>
          <w:sz w:val="20"/>
          <w:szCs w:val="20"/>
        </w:rPr>
      </w:pPr>
      <w:r w:rsidRPr="00721974">
        <w:rPr>
          <w:rFonts w:ascii="Times New Roman" w:eastAsia="微软雅黑" w:hAnsi="Times New Roman" w:cs="Times New Roman"/>
          <w:b/>
          <w:sz w:val="20"/>
          <w:szCs w:val="20"/>
        </w:rPr>
        <w:t>Table 5-3</w:t>
      </w:r>
      <w:r w:rsidRPr="00721974">
        <w:rPr>
          <w:rFonts w:ascii="Times New Roman" w:eastAsia="微软雅黑" w:hAnsi="Times New Roman" w:cs="Times New Roman"/>
          <w:sz w:val="20"/>
          <w:szCs w:val="20"/>
        </w:rPr>
        <w:t xml:space="preserve"> </w:t>
      </w:r>
      <w:r w:rsidRPr="00721974">
        <w:rPr>
          <w:rFonts w:ascii="Times New Roman" w:eastAsia="微软雅黑" w:hAnsi="Times New Roman" w:cs="Times New Roman"/>
          <w:sz w:val="20"/>
          <w:szCs w:val="20"/>
        </w:rPr>
        <w:tab/>
        <w:t>System-level simulation parameters for asymmetric DL sTRP/UL mTRP scenario</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5395"/>
      </w:tblGrid>
      <w:tr w:rsidR="007C2EE2" w14:paraId="3A3EB409" w14:textId="77777777">
        <w:trPr>
          <w:trHeight w:val="285"/>
          <w:jc w:val="center"/>
        </w:trPr>
        <w:tc>
          <w:tcPr>
            <w:tcW w:w="2340" w:type="dxa"/>
            <w:shd w:val="clear" w:color="auto" w:fill="D9D9D9" w:themeFill="background1" w:themeFillShade="D9"/>
            <w:noWrap/>
            <w:vAlign w:val="center"/>
          </w:tcPr>
          <w:p w14:paraId="20D3454A" w14:textId="77777777" w:rsidR="007C2EE2" w:rsidRDefault="004A139E">
            <w:pPr>
              <w:snapToGrid w:val="0"/>
              <w:jc w:val="center"/>
              <w:rPr>
                <w:rFonts w:ascii="Times New Roman" w:eastAsia="宋体" w:hAnsi="Times New Roman" w:cs="Times New Roman"/>
                <w:b/>
                <w:bCs/>
                <w:sz w:val="18"/>
                <w:szCs w:val="18"/>
              </w:rPr>
            </w:pPr>
            <w:r>
              <w:rPr>
                <w:rFonts w:ascii="Times New Roman" w:eastAsia="宋体" w:hAnsi="Times New Roman" w:cs="Times New Roman"/>
                <w:b/>
                <w:bCs/>
                <w:sz w:val="18"/>
                <w:szCs w:val="18"/>
              </w:rPr>
              <w:t>Parameter</w:t>
            </w:r>
          </w:p>
        </w:tc>
        <w:tc>
          <w:tcPr>
            <w:tcW w:w="5395" w:type="dxa"/>
            <w:shd w:val="clear" w:color="auto" w:fill="D9D9D9" w:themeFill="background1" w:themeFillShade="D9"/>
            <w:noWrap/>
            <w:vAlign w:val="center"/>
          </w:tcPr>
          <w:p w14:paraId="6415FAAD" w14:textId="77777777" w:rsidR="007C2EE2" w:rsidRDefault="004A139E">
            <w:pPr>
              <w:snapToGrid w:val="0"/>
              <w:ind w:firstLine="442"/>
              <w:jc w:val="center"/>
              <w:rPr>
                <w:rFonts w:ascii="Times New Roman" w:eastAsia="宋体" w:hAnsi="Times New Roman" w:cs="Times New Roman"/>
                <w:b/>
                <w:bCs/>
                <w:sz w:val="18"/>
                <w:szCs w:val="18"/>
              </w:rPr>
            </w:pPr>
            <w:r>
              <w:rPr>
                <w:rFonts w:ascii="Times New Roman" w:eastAsia="宋体" w:hAnsi="Times New Roman" w:cs="Times New Roman"/>
                <w:b/>
                <w:bCs/>
                <w:sz w:val="18"/>
                <w:szCs w:val="18"/>
              </w:rPr>
              <w:t>Value</w:t>
            </w:r>
          </w:p>
        </w:tc>
      </w:tr>
      <w:tr w:rsidR="007C2EE2" w14:paraId="2D8E110D" w14:textId="77777777">
        <w:trPr>
          <w:trHeight w:val="285"/>
          <w:jc w:val="center"/>
        </w:trPr>
        <w:tc>
          <w:tcPr>
            <w:tcW w:w="2340" w:type="dxa"/>
            <w:shd w:val="clear" w:color="auto" w:fill="auto"/>
            <w:vAlign w:val="center"/>
          </w:tcPr>
          <w:p w14:paraId="128D9A69"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Carrier Frequency</w:t>
            </w:r>
          </w:p>
        </w:tc>
        <w:tc>
          <w:tcPr>
            <w:tcW w:w="5395" w:type="dxa"/>
            <w:shd w:val="clear" w:color="auto" w:fill="auto"/>
            <w:noWrap/>
            <w:vAlign w:val="center"/>
          </w:tcPr>
          <w:p w14:paraId="5D695927"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4GHz</w:t>
            </w:r>
          </w:p>
        </w:tc>
      </w:tr>
      <w:tr w:rsidR="007C2EE2" w14:paraId="4804E9CF" w14:textId="77777777">
        <w:trPr>
          <w:trHeight w:val="285"/>
          <w:jc w:val="center"/>
        </w:trPr>
        <w:tc>
          <w:tcPr>
            <w:tcW w:w="2340" w:type="dxa"/>
            <w:shd w:val="clear" w:color="auto" w:fill="auto"/>
            <w:vAlign w:val="center"/>
          </w:tcPr>
          <w:p w14:paraId="3E30D812"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Bandwidth</w:t>
            </w:r>
          </w:p>
        </w:tc>
        <w:tc>
          <w:tcPr>
            <w:tcW w:w="5395" w:type="dxa"/>
            <w:shd w:val="clear" w:color="auto" w:fill="auto"/>
            <w:noWrap/>
            <w:vAlign w:val="center"/>
          </w:tcPr>
          <w:p w14:paraId="72DDF4CA"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20MHz</w:t>
            </w:r>
          </w:p>
        </w:tc>
      </w:tr>
      <w:tr w:rsidR="007C2EE2" w14:paraId="09D6C013" w14:textId="77777777">
        <w:trPr>
          <w:trHeight w:val="64"/>
          <w:jc w:val="center"/>
        </w:trPr>
        <w:tc>
          <w:tcPr>
            <w:tcW w:w="2340" w:type="dxa"/>
            <w:shd w:val="clear" w:color="auto" w:fill="auto"/>
            <w:vAlign w:val="center"/>
          </w:tcPr>
          <w:p w14:paraId="7F8A90EC"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SCS</w:t>
            </w:r>
          </w:p>
        </w:tc>
        <w:tc>
          <w:tcPr>
            <w:tcW w:w="5395" w:type="dxa"/>
            <w:shd w:val="clear" w:color="auto" w:fill="auto"/>
            <w:noWrap/>
            <w:vAlign w:val="center"/>
          </w:tcPr>
          <w:p w14:paraId="01E6AF11" w14:textId="77777777" w:rsidR="007C2EE2" w:rsidRDefault="004A139E">
            <w:pPr>
              <w:snapToGrid w:val="0"/>
              <w:ind w:firstLine="420"/>
              <w:jc w:val="center"/>
              <w:rPr>
                <w:rFonts w:ascii="Times New Roman" w:eastAsia="宋体" w:hAnsi="Times New Roman" w:cs="Times New Roman"/>
                <w:sz w:val="18"/>
                <w:szCs w:val="18"/>
              </w:rPr>
            </w:pPr>
            <w:r>
              <w:rPr>
                <w:rFonts w:ascii="Times New Roman" w:eastAsia="宋体" w:hAnsi="Times New Roman" w:cs="Times New Roman"/>
                <w:sz w:val="18"/>
                <w:szCs w:val="18"/>
              </w:rPr>
              <w:t>30kHz</w:t>
            </w:r>
          </w:p>
        </w:tc>
      </w:tr>
      <w:tr w:rsidR="007C2EE2" w14:paraId="2CAF61AC" w14:textId="77777777">
        <w:trPr>
          <w:trHeight w:val="285"/>
          <w:jc w:val="center"/>
        </w:trPr>
        <w:tc>
          <w:tcPr>
            <w:tcW w:w="2340" w:type="dxa"/>
            <w:shd w:val="clear" w:color="auto" w:fill="auto"/>
            <w:vAlign w:val="center"/>
          </w:tcPr>
          <w:p w14:paraId="0E93426B"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Network Layout</w:t>
            </w:r>
          </w:p>
        </w:tc>
        <w:tc>
          <w:tcPr>
            <w:tcW w:w="5395" w:type="dxa"/>
            <w:shd w:val="clear" w:color="auto" w:fill="auto"/>
            <w:noWrap/>
            <w:vAlign w:val="center"/>
          </w:tcPr>
          <w:p w14:paraId="4267BF1B" w14:textId="77777777" w:rsidR="007C2EE2" w:rsidRDefault="004A139E">
            <w:pPr>
              <w:snapToGrid w:val="0"/>
              <w:ind w:firstLine="440"/>
              <w:jc w:val="center"/>
              <w:rPr>
                <w:rFonts w:ascii="Times New Roman" w:hAnsi="Times New Roman" w:cs="Times New Roman"/>
                <w:sz w:val="18"/>
                <w:szCs w:val="18"/>
              </w:rPr>
            </w:pPr>
            <w:r>
              <w:rPr>
                <w:rFonts w:ascii="Times New Roman" w:hAnsi="Times New Roman" w:cs="Times New Roman"/>
                <w:sz w:val="18"/>
                <w:szCs w:val="18"/>
              </w:rPr>
              <w:t>Outdoor FWA (</w:t>
            </w:r>
            <w:r>
              <w:rPr>
                <w:rFonts w:ascii="Times New Roman" w:eastAsia="宋体" w:hAnsi="Times New Roman" w:cs="Times New Roman"/>
                <w:sz w:val="18"/>
                <w:szCs w:val="18"/>
              </w:rPr>
              <w:t xml:space="preserve">TR </w:t>
            </w:r>
            <w:r>
              <w:rPr>
                <w:rFonts w:ascii="Times New Roman" w:hAnsi="Times New Roman" w:cs="Times New Roman"/>
                <w:sz w:val="18"/>
                <w:szCs w:val="18"/>
              </w:rPr>
              <w:t>38.901): UMa, 2-layer (HetNet layout)</w:t>
            </w:r>
          </w:p>
          <w:p w14:paraId="211B3AE7" w14:textId="77777777" w:rsidR="007C2EE2" w:rsidRDefault="004A139E">
            <w:pPr>
              <w:snapToGrid w:val="0"/>
              <w:spacing w:before="100" w:after="100"/>
              <w:ind w:firstLine="446"/>
              <w:jc w:val="center"/>
              <w:rPr>
                <w:rFonts w:ascii="Times New Roman" w:hAnsi="Times New Roman" w:cs="Times New Roman"/>
                <w:sz w:val="18"/>
                <w:szCs w:val="18"/>
              </w:rPr>
            </w:pPr>
            <w:r>
              <w:rPr>
                <w:noProof/>
                <w:sz w:val="18"/>
                <w:szCs w:val="18"/>
              </w:rPr>
              <w:drawing>
                <wp:inline distT="0" distB="0" distL="0" distR="0" wp14:anchorId="6E75DF76" wp14:editId="3B0AAD5A">
                  <wp:extent cx="1737360" cy="1490980"/>
                  <wp:effectExtent l="0" t="0" r="0" b="0"/>
                  <wp:docPr id="22" name="图片 3" descr="Deploy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descr="Deployment"/>
                          <pic:cNvPicPr>
                            <a:picLocks noChangeAspect="1"/>
                          </pic:cNvPicPr>
                        </pic:nvPicPr>
                        <pic:blipFill>
                          <a:blip r:embed="rId23"/>
                          <a:stretch>
                            <a:fillRect/>
                          </a:stretch>
                        </pic:blipFill>
                        <pic:spPr>
                          <a:xfrm>
                            <a:off x="0" y="0"/>
                            <a:ext cx="1737374" cy="1491398"/>
                          </a:xfrm>
                          <a:prstGeom prst="rect">
                            <a:avLst/>
                          </a:prstGeom>
                        </pic:spPr>
                      </pic:pic>
                    </a:graphicData>
                  </a:graphic>
                </wp:inline>
              </w:drawing>
            </w:r>
          </w:p>
        </w:tc>
      </w:tr>
      <w:tr w:rsidR="007C2EE2" w14:paraId="17A4DFE9" w14:textId="77777777">
        <w:trPr>
          <w:trHeight w:val="285"/>
          <w:jc w:val="center"/>
        </w:trPr>
        <w:tc>
          <w:tcPr>
            <w:tcW w:w="2340" w:type="dxa"/>
            <w:shd w:val="clear" w:color="auto" w:fill="auto"/>
            <w:vAlign w:val="center"/>
          </w:tcPr>
          <w:p w14:paraId="5F42CE56"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 xml:space="preserve">Macro </w:t>
            </w:r>
            <w:r>
              <w:rPr>
                <w:rFonts w:ascii="Times New Roman" w:hAnsi="Times New Roman" w:cs="Times New Roman"/>
                <w:sz w:val="18"/>
                <w:szCs w:val="18"/>
              </w:rPr>
              <w:t>BS antenna configuration</w:t>
            </w:r>
          </w:p>
        </w:tc>
        <w:tc>
          <w:tcPr>
            <w:tcW w:w="5395" w:type="dxa"/>
            <w:shd w:val="clear" w:color="auto" w:fill="auto"/>
            <w:noWrap/>
            <w:vAlign w:val="center"/>
          </w:tcPr>
          <w:p w14:paraId="20F2A4B1" w14:textId="77777777" w:rsidR="007C2EE2" w:rsidRDefault="004A139E">
            <w:pPr>
              <w:snapToGrid w:val="0"/>
              <w:ind w:firstLine="440"/>
              <w:jc w:val="center"/>
              <w:rPr>
                <w:rFonts w:ascii="Times New Roman" w:eastAsia="宋体" w:hAnsi="Times New Roman" w:cs="Times New Roman"/>
                <w:sz w:val="18"/>
                <w:szCs w:val="18"/>
              </w:rPr>
            </w:pPr>
            <w:r>
              <w:rPr>
                <w:rFonts w:ascii="Times New Roman" w:hAnsi="Times New Roman" w:cs="Times New Roman"/>
                <w:sz w:val="18"/>
                <w:szCs w:val="18"/>
              </w:rPr>
              <w:t xml:space="preserve"> (M, N, P, Mg, Ng; Mp, Np) = (4,4,2,1,1; 4,4). (dH,dV) = (0.5, 0.8)λ</w:t>
            </w:r>
          </w:p>
        </w:tc>
      </w:tr>
      <w:tr w:rsidR="007C2EE2" w14:paraId="1A51898F" w14:textId="77777777">
        <w:trPr>
          <w:trHeight w:val="285"/>
          <w:jc w:val="center"/>
        </w:trPr>
        <w:tc>
          <w:tcPr>
            <w:tcW w:w="2340" w:type="dxa"/>
            <w:shd w:val="clear" w:color="auto" w:fill="auto"/>
            <w:vAlign w:val="center"/>
          </w:tcPr>
          <w:p w14:paraId="2B2EBDAB"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 xml:space="preserve">Micro BS antenna </w:t>
            </w:r>
            <w:r>
              <w:rPr>
                <w:rFonts w:ascii="Times New Roman" w:hAnsi="Times New Roman" w:cs="Times New Roman"/>
                <w:sz w:val="18"/>
                <w:szCs w:val="18"/>
              </w:rPr>
              <w:t>configuration</w:t>
            </w:r>
          </w:p>
        </w:tc>
        <w:tc>
          <w:tcPr>
            <w:tcW w:w="5395" w:type="dxa"/>
            <w:shd w:val="clear" w:color="auto" w:fill="auto"/>
            <w:noWrap/>
            <w:vAlign w:val="center"/>
          </w:tcPr>
          <w:p w14:paraId="3B2F22A9" w14:textId="77777777" w:rsidR="007C2EE2" w:rsidRDefault="004A139E">
            <w:pPr>
              <w:snapToGrid w:val="0"/>
              <w:ind w:firstLine="440"/>
              <w:jc w:val="center"/>
              <w:rPr>
                <w:rFonts w:ascii="Times New Roman" w:hAnsi="Times New Roman" w:cs="Times New Roman"/>
                <w:sz w:val="18"/>
                <w:szCs w:val="18"/>
              </w:rPr>
            </w:pPr>
            <w:r>
              <w:rPr>
                <w:rFonts w:ascii="Times New Roman" w:hAnsi="Times New Roman" w:cs="Times New Roman"/>
                <w:sz w:val="18"/>
                <w:szCs w:val="18"/>
              </w:rPr>
              <w:t xml:space="preserve"> (M, N, P, Mg, Ng; Mp, Np) = (</w:t>
            </w:r>
            <w:r>
              <w:rPr>
                <w:rFonts w:ascii="Times New Roman" w:eastAsia="宋体" w:hAnsi="Times New Roman" w:cs="Times New Roman"/>
                <w:sz w:val="18"/>
                <w:szCs w:val="18"/>
              </w:rPr>
              <w:t>2</w:t>
            </w:r>
            <w:r>
              <w:rPr>
                <w:rFonts w:ascii="Times New Roman" w:hAnsi="Times New Roman" w:cs="Times New Roman"/>
                <w:sz w:val="18"/>
                <w:szCs w:val="18"/>
              </w:rPr>
              <w:t>,</w:t>
            </w:r>
            <w:r>
              <w:rPr>
                <w:rFonts w:ascii="Times New Roman" w:eastAsia="宋体" w:hAnsi="Times New Roman" w:cs="Times New Roman"/>
                <w:sz w:val="18"/>
                <w:szCs w:val="18"/>
              </w:rPr>
              <w:t>2</w:t>
            </w:r>
            <w:r>
              <w:rPr>
                <w:rFonts w:ascii="Times New Roman" w:hAnsi="Times New Roman" w:cs="Times New Roman"/>
                <w:sz w:val="18"/>
                <w:szCs w:val="18"/>
              </w:rPr>
              <w:t xml:space="preserve">,2,1,1; </w:t>
            </w:r>
            <w:r>
              <w:rPr>
                <w:rFonts w:ascii="Times New Roman" w:eastAsia="宋体" w:hAnsi="Times New Roman" w:cs="Times New Roman"/>
                <w:sz w:val="18"/>
                <w:szCs w:val="18"/>
              </w:rPr>
              <w:t>2</w:t>
            </w:r>
            <w:r>
              <w:rPr>
                <w:rFonts w:ascii="Times New Roman" w:hAnsi="Times New Roman" w:cs="Times New Roman"/>
                <w:sz w:val="18"/>
                <w:szCs w:val="18"/>
              </w:rPr>
              <w:t>,</w:t>
            </w:r>
            <w:r>
              <w:rPr>
                <w:rFonts w:ascii="Times New Roman" w:eastAsia="宋体" w:hAnsi="Times New Roman" w:cs="Times New Roman"/>
                <w:sz w:val="18"/>
                <w:szCs w:val="18"/>
              </w:rPr>
              <w:t>2</w:t>
            </w:r>
            <w:r>
              <w:rPr>
                <w:rFonts w:ascii="Times New Roman" w:hAnsi="Times New Roman" w:cs="Times New Roman"/>
                <w:sz w:val="18"/>
                <w:szCs w:val="18"/>
              </w:rPr>
              <w:t>). (dH,dV) = (0.5, 0.8)λ</w:t>
            </w:r>
          </w:p>
        </w:tc>
      </w:tr>
      <w:tr w:rsidR="007C2EE2" w14:paraId="381D760F" w14:textId="77777777">
        <w:trPr>
          <w:trHeight w:val="285"/>
          <w:jc w:val="center"/>
        </w:trPr>
        <w:tc>
          <w:tcPr>
            <w:tcW w:w="2340" w:type="dxa"/>
            <w:shd w:val="clear" w:color="auto" w:fill="auto"/>
            <w:vAlign w:val="center"/>
          </w:tcPr>
          <w:p w14:paraId="4516F676" w14:textId="77777777" w:rsidR="007C2EE2" w:rsidRDefault="004A139E">
            <w:pPr>
              <w:snapToGrid w:val="0"/>
              <w:jc w:val="center"/>
              <w:rPr>
                <w:rFonts w:ascii="Times New Roman" w:eastAsia="宋体" w:hAnsi="Times New Roman" w:cs="Times New Roman"/>
                <w:sz w:val="18"/>
                <w:szCs w:val="18"/>
              </w:rPr>
            </w:pPr>
            <w:r>
              <w:rPr>
                <w:rFonts w:ascii="Times New Roman" w:hAnsi="Times New Roman" w:cs="Times New Roman"/>
                <w:sz w:val="18"/>
                <w:szCs w:val="18"/>
              </w:rPr>
              <w:t>UE antenna configuration</w:t>
            </w:r>
          </w:p>
        </w:tc>
        <w:tc>
          <w:tcPr>
            <w:tcW w:w="5395" w:type="dxa"/>
            <w:shd w:val="clear" w:color="auto" w:fill="auto"/>
            <w:noWrap/>
            <w:vAlign w:val="center"/>
          </w:tcPr>
          <w:p w14:paraId="1CF9D999" w14:textId="77777777" w:rsidR="007C2EE2" w:rsidRDefault="004A139E">
            <w:pPr>
              <w:snapToGrid w:val="0"/>
              <w:jc w:val="center"/>
              <w:rPr>
                <w:rFonts w:ascii="Times New Roman" w:eastAsia="宋体" w:hAnsi="Times New Roman" w:cs="Times New Roman"/>
                <w:sz w:val="18"/>
                <w:szCs w:val="18"/>
              </w:rPr>
            </w:pPr>
            <w:r>
              <w:rPr>
                <w:rFonts w:ascii="Times New Roman" w:hAnsi="Times New Roman" w:cs="Times New Roman"/>
                <w:sz w:val="18"/>
                <w:szCs w:val="18"/>
              </w:rPr>
              <w:t>8Tx: (M, N, P, Mg, Ng; Mp, Np) = (</w:t>
            </w:r>
            <w:r>
              <w:rPr>
                <w:rFonts w:ascii="Times New Roman" w:eastAsia="宋体" w:hAnsi="Times New Roman" w:cs="Times New Roman"/>
                <w:sz w:val="18"/>
                <w:szCs w:val="18"/>
              </w:rPr>
              <w:t>1</w:t>
            </w:r>
            <w:r>
              <w:rPr>
                <w:rFonts w:ascii="Times New Roman" w:hAnsi="Times New Roman" w:cs="Times New Roman"/>
                <w:sz w:val="18"/>
                <w:szCs w:val="18"/>
              </w:rPr>
              <w:t>,</w:t>
            </w:r>
            <w:r>
              <w:rPr>
                <w:rFonts w:ascii="Times New Roman" w:eastAsia="宋体" w:hAnsi="Times New Roman" w:cs="Times New Roman"/>
                <w:sz w:val="18"/>
                <w:szCs w:val="18"/>
              </w:rPr>
              <w:t>2</w:t>
            </w:r>
            <w:r>
              <w:rPr>
                <w:rFonts w:ascii="Times New Roman" w:hAnsi="Times New Roman" w:cs="Times New Roman"/>
                <w:sz w:val="18"/>
                <w:szCs w:val="18"/>
              </w:rPr>
              <w:t xml:space="preserve">,2,1,1; </w:t>
            </w:r>
            <w:r>
              <w:rPr>
                <w:rFonts w:ascii="Times New Roman" w:eastAsia="宋体" w:hAnsi="Times New Roman" w:cs="Times New Roman"/>
                <w:sz w:val="18"/>
                <w:szCs w:val="18"/>
              </w:rPr>
              <w:t>1</w:t>
            </w:r>
            <w:r>
              <w:rPr>
                <w:rFonts w:ascii="Times New Roman" w:hAnsi="Times New Roman" w:cs="Times New Roman"/>
                <w:sz w:val="18"/>
                <w:szCs w:val="18"/>
              </w:rPr>
              <w:t>,</w:t>
            </w:r>
            <w:r>
              <w:rPr>
                <w:rFonts w:ascii="Times New Roman" w:eastAsia="宋体" w:hAnsi="Times New Roman" w:cs="Times New Roman"/>
                <w:sz w:val="18"/>
                <w:szCs w:val="18"/>
              </w:rPr>
              <w:t>2</w:t>
            </w:r>
            <w:r>
              <w:rPr>
                <w:rFonts w:ascii="Times New Roman" w:hAnsi="Times New Roman" w:cs="Times New Roman"/>
                <w:sz w:val="18"/>
                <w:szCs w:val="18"/>
              </w:rPr>
              <w:t>). (dH,dV) = (0.5, 0.5)λ</w:t>
            </w:r>
          </w:p>
        </w:tc>
      </w:tr>
      <w:tr w:rsidR="007C2EE2" w14:paraId="755941E4" w14:textId="77777777">
        <w:trPr>
          <w:trHeight w:val="285"/>
          <w:jc w:val="center"/>
        </w:trPr>
        <w:tc>
          <w:tcPr>
            <w:tcW w:w="2340" w:type="dxa"/>
            <w:shd w:val="clear" w:color="auto" w:fill="auto"/>
            <w:vAlign w:val="center"/>
          </w:tcPr>
          <w:p w14:paraId="5D46EF1F"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Scheduling</w:t>
            </w:r>
          </w:p>
        </w:tc>
        <w:tc>
          <w:tcPr>
            <w:tcW w:w="5395" w:type="dxa"/>
            <w:shd w:val="clear" w:color="auto" w:fill="auto"/>
            <w:noWrap/>
            <w:vAlign w:val="center"/>
          </w:tcPr>
          <w:p w14:paraId="055051A8"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Subband PF</w:t>
            </w:r>
          </w:p>
        </w:tc>
      </w:tr>
      <w:tr w:rsidR="007C2EE2" w14:paraId="606D9FA8" w14:textId="77777777">
        <w:trPr>
          <w:trHeight w:val="50"/>
          <w:jc w:val="center"/>
        </w:trPr>
        <w:tc>
          <w:tcPr>
            <w:tcW w:w="2340" w:type="dxa"/>
            <w:shd w:val="clear" w:color="auto" w:fill="auto"/>
            <w:vAlign w:val="center"/>
          </w:tcPr>
          <w:p w14:paraId="7C41B9F1"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Traffic model</w:t>
            </w:r>
          </w:p>
        </w:tc>
        <w:tc>
          <w:tcPr>
            <w:tcW w:w="5395" w:type="dxa"/>
            <w:shd w:val="clear" w:color="auto" w:fill="auto"/>
            <w:vAlign w:val="center"/>
          </w:tcPr>
          <w:p w14:paraId="008744F8"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fullbuffer</w:t>
            </w:r>
          </w:p>
        </w:tc>
      </w:tr>
      <w:tr w:rsidR="007C2EE2" w14:paraId="1323D5CA" w14:textId="77777777">
        <w:trPr>
          <w:trHeight w:val="285"/>
          <w:jc w:val="center"/>
        </w:trPr>
        <w:tc>
          <w:tcPr>
            <w:tcW w:w="2340" w:type="dxa"/>
            <w:shd w:val="clear" w:color="auto" w:fill="auto"/>
            <w:vAlign w:val="center"/>
          </w:tcPr>
          <w:p w14:paraId="6892C766"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ISD</w:t>
            </w:r>
          </w:p>
        </w:tc>
        <w:tc>
          <w:tcPr>
            <w:tcW w:w="5395" w:type="dxa"/>
            <w:shd w:val="clear" w:color="auto" w:fill="auto"/>
            <w:noWrap/>
            <w:vAlign w:val="center"/>
          </w:tcPr>
          <w:p w14:paraId="61F8716A"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500 m</w:t>
            </w:r>
          </w:p>
        </w:tc>
      </w:tr>
      <w:tr w:rsidR="007C2EE2" w14:paraId="6F04B3FF" w14:textId="77777777">
        <w:trPr>
          <w:trHeight w:val="285"/>
          <w:jc w:val="center"/>
        </w:trPr>
        <w:tc>
          <w:tcPr>
            <w:tcW w:w="2340" w:type="dxa"/>
            <w:shd w:val="clear" w:color="auto" w:fill="auto"/>
            <w:vAlign w:val="center"/>
          </w:tcPr>
          <w:p w14:paraId="60CD5789"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UE layout</w:t>
            </w:r>
          </w:p>
        </w:tc>
        <w:tc>
          <w:tcPr>
            <w:tcW w:w="5395" w:type="dxa"/>
            <w:shd w:val="clear" w:color="auto" w:fill="auto"/>
            <w:noWrap/>
            <w:vAlign w:val="center"/>
          </w:tcPr>
          <w:p w14:paraId="40A4029A"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1</w:t>
            </w:r>
            <w:r>
              <w:rPr>
                <w:rFonts w:ascii="Times New Roman" w:hAnsi="Times New Roman" w:cs="Times New Roman"/>
                <w:sz w:val="18"/>
                <w:szCs w:val="18"/>
              </w:rPr>
              <w:t>00% Outdoor</w:t>
            </w:r>
          </w:p>
        </w:tc>
      </w:tr>
      <w:tr w:rsidR="007C2EE2" w14:paraId="749E7B72" w14:textId="77777777">
        <w:trPr>
          <w:trHeight w:val="285"/>
          <w:jc w:val="center"/>
        </w:trPr>
        <w:tc>
          <w:tcPr>
            <w:tcW w:w="2340" w:type="dxa"/>
            <w:shd w:val="clear" w:color="auto" w:fill="auto"/>
            <w:vAlign w:val="center"/>
          </w:tcPr>
          <w:p w14:paraId="227A269D" w14:textId="77777777" w:rsidR="007C2EE2" w:rsidRDefault="004A139E">
            <w:pPr>
              <w:snapToGrid w:val="0"/>
              <w:jc w:val="center"/>
              <w:rPr>
                <w:rFonts w:ascii="Times New Roman" w:eastAsia="宋体" w:hAnsi="Times New Roman" w:cs="Times New Roman"/>
                <w:sz w:val="18"/>
                <w:szCs w:val="18"/>
              </w:rPr>
            </w:pPr>
            <w:r>
              <w:rPr>
                <w:rFonts w:ascii="Times New Roman" w:hAnsi="Times New Roman" w:cs="Times New Roman"/>
                <w:sz w:val="18"/>
                <w:szCs w:val="18"/>
              </w:rPr>
              <w:t>UE speed</w:t>
            </w:r>
          </w:p>
        </w:tc>
        <w:tc>
          <w:tcPr>
            <w:tcW w:w="5395" w:type="dxa"/>
            <w:shd w:val="clear" w:color="auto" w:fill="auto"/>
            <w:noWrap/>
            <w:vAlign w:val="center"/>
          </w:tcPr>
          <w:p w14:paraId="43281AF2" w14:textId="77777777" w:rsidR="007C2EE2" w:rsidRDefault="004A139E">
            <w:pPr>
              <w:snapToGrid w:val="0"/>
              <w:ind w:firstLine="440"/>
              <w:jc w:val="center"/>
              <w:rPr>
                <w:rFonts w:ascii="Times New Roman" w:eastAsia="宋体" w:hAnsi="Times New Roman" w:cs="Times New Roman"/>
                <w:sz w:val="18"/>
                <w:szCs w:val="18"/>
              </w:rPr>
            </w:pPr>
            <w:r>
              <w:rPr>
                <w:rFonts w:ascii="Times New Roman" w:hAnsi="Times New Roman" w:cs="Times New Roman"/>
                <w:sz w:val="18"/>
                <w:szCs w:val="18"/>
              </w:rPr>
              <w:t>3</w:t>
            </w:r>
            <w:r>
              <w:rPr>
                <w:rFonts w:ascii="Times New Roman" w:eastAsia="宋体" w:hAnsi="Times New Roman" w:cs="Times New Roman"/>
                <w:sz w:val="18"/>
                <w:szCs w:val="18"/>
              </w:rPr>
              <w:t>k</w:t>
            </w:r>
            <w:r>
              <w:rPr>
                <w:rFonts w:ascii="Times New Roman" w:hAnsi="Times New Roman" w:cs="Times New Roman"/>
                <w:sz w:val="18"/>
                <w:szCs w:val="18"/>
              </w:rPr>
              <w:t>m/h</w:t>
            </w:r>
          </w:p>
        </w:tc>
      </w:tr>
      <w:tr w:rsidR="007C2EE2" w14:paraId="07E1CB5F" w14:textId="77777777">
        <w:trPr>
          <w:trHeight w:val="64"/>
          <w:jc w:val="center"/>
        </w:trPr>
        <w:tc>
          <w:tcPr>
            <w:tcW w:w="2340" w:type="dxa"/>
            <w:shd w:val="clear" w:color="auto" w:fill="auto"/>
            <w:vAlign w:val="center"/>
          </w:tcPr>
          <w:p w14:paraId="7EF2B3D4"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Number of average UE per macro cell</w:t>
            </w:r>
          </w:p>
        </w:tc>
        <w:tc>
          <w:tcPr>
            <w:tcW w:w="5395" w:type="dxa"/>
            <w:shd w:val="clear" w:color="auto" w:fill="auto"/>
            <w:vAlign w:val="center"/>
          </w:tcPr>
          <w:p w14:paraId="3FE9D01D"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20</w:t>
            </w:r>
          </w:p>
        </w:tc>
      </w:tr>
      <w:tr w:rsidR="007C2EE2" w14:paraId="1E569FE2" w14:textId="77777777">
        <w:trPr>
          <w:trHeight w:val="64"/>
          <w:jc w:val="center"/>
        </w:trPr>
        <w:tc>
          <w:tcPr>
            <w:tcW w:w="2340" w:type="dxa"/>
            <w:shd w:val="clear" w:color="auto" w:fill="auto"/>
            <w:vAlign w:val="center"/>
          </w:tcPr>
          <w:p w14:paraId="7C439F06"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Max UE power</w:t>
            </w:r>
          </w:p>
        </w:tc>
        <w:tc>
          <w:tcPr>
            <w:tcW w:w="5395" w:type="dxa"/>
            <w:shd w:val="clear" w:color="auto" w:fill="auto"/>
            <w:vAlign w:val="center"/>
          </w:tcPr>
          <w:p w14:paraId="4938AD21"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23 dBm</w:t>
            </w:r>
          </w:p>
        </w:tc>
      </w:tr>
      <w:tr w:rsidR="007C2EE2" w14:paraId="0FB36670" w14:textId="77777777">
        <w:trPr>
          <w:trHeight w:val="64"/>
          <w:jc w:val="center"/>
        </w:trPr>
        <w:tc>
          <w:tcPr>
            <w:tcW w:w="2340" w:type="dxa"/>
            <w:shd w:val="clear" w:color="auto" w:fill="auto"/>
            <w:vAlign w:val="center"/>
          </w:tcPr>
          <w:p w14:paraId="7C407338"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UL power control</w:t>
            </w:r>
          </w:p>
        </w:tc>
        <w:tc>
          <w:tcPr>
            <w:tcW w:w="5395" w:type="dxa"/>
            <w:shd w:val="clear" w:color="auto" w:fill="auto"/>
            <w:vAlign w:val="center"/>
          </w:tcPr>
          <w:p w14:paraId="4F912E8B"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Open loop TPC</w:t>
            </w:r>
          </w:p>
        </w:tc>
      </w:tr>
      <w:tr w:rsidR="007C2EE2" w14:paraId="624C2708" w14:textId="77777777">
        <w:trPr>
          <w:trHeight w:val="64"/>
          <w:jc w:val="center"/>
        </w:trPr>
        <w:tc>
          <w:tcPr>
            <w:tcW w:w="2340" w:type="dxa"/>
            <w:shd w:val="clear" w:color="auto" w:fill="auto"/>
            <w:vAlign w:val="center"/>
          </w:tcPr>
          <w:p w14:paraId="706D854A"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Power control parameter</w:t>
            </w:r>
          </w:p>
        </w:tc>
        <w:tc>
          <w:tcPr>
            <w:tcW w:w="5395" w:type="dxa"/>
            <w:shd w:val="clear" w:color="auto" w:fill="auto"/>
            <w:vAlign w:val="center"/>
          </w:tcPr>
          <w:p w14:paraId="349F6756"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P0 = -60, Alpha = 0.8</w:t>
            </w:r>
          </w:p>
        </w:tc>
      </w:tr>
      <w:tr w:rsidR="007C2EE2" w14:paraId="181D092D" w14:textId="77777777">
        <w:trPr>
          <w:trHeight w:val="64"/>
          <w:jc w:val="center"/>
        </w:trPr>
        <w:tc>
          <w:tcPr>
            <w:tcW w:w="2340" w:type="dxa"/>
            <w:shd w:val="clear" w:color="auto" w:fill="auto"/>
            <w:vAlign w:val="center"/>
          </w:tcPr>
          <w:p w14:paraId="1E82411D"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Modulation</w:t>
            </w:r>
          </w:p>
        </w:tc>
        <w:tc>
          <w:tcPr>
            <w:tcW w:w="5395" w:type="dxa"/>
            <w:shd w:val="clear" w:color="auto" w:fill="auto"/>
            <w:vAlign w:val="center"/>
          </w:tcPr>
          <w:p w14:paraId="0608BBE6" w14:textId="77777777" w:rsidR="007C2EE2" w:rsidRDefault="004A139E">
            <w:pPr>
              <w:snapToGrid w:val="0"/>
              <w:ind w:firstLine="440"/>
              <w:jc w:val="center"/>
              <w:rPr>
                <w:rFonts w:ascii="Times New Roman" w:eastAsia="宋体" w:hAnsi="Times New Roman" w:cs="Times New Roman"/>
                <w:sz w:val="18"/>
                <w:szCs w:val="18"/>
              </w:rPr>
            </w:pPr>
            <w:r>
              <w:rPr>
                <w:rFonts w:ascii="Times New Roman" w:eastAsia="宋体" w:hAnsi="Times New Roman" w:cs="Times New Roman"/>
                <w:sz w:val="18"/>
                <w:szCs w:val="18"/>
              </w:rPr>
              <w:t>Up to 64QAM</w:t>
            </w:r>
          </w:p>
        </w:tc>
      </w:tr>
      <w:tr w:rsidR="007C2EE2" w14:paraId="799A8021" w14:textId="77777777">
        <w:trPr>
          <w:trHeight w:val="64"/>
          <w:jc w:val="center"/>
        </w:trPr>
        <w:tc>
          <w:tcPr>
            <w:tcW w:w="2340" w:type="dxa"/>
            <w:shd w:val="clear" w:color="auto" w:fill="auto"/>
            <w:vAlign w:val="center"/>
          </w:tcPr>
          <w:p w14:paraId="2CF5B3AE"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Layer</w:t>
            </w:r>
          </w:p>
        </w:tc>
        <w:tc>
          <w:tcPr>
            <w:tcW w:w="5395" w:type="dxa"/>
            <w:shd w:val="clear" w:color="auto" w:fill="auto"/>
            <w:vAlign w:val="center"/>
          </w:tcPr>
          <w:p w14:paraId="68FAD3C1" w14:textId="77777777" w:rsidR="007C2EE2" w:rsidRDefault="004A139E">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MCS and RANK (1-to-4) adaptation</w:t>
            </w:r>
          </w:p>
        </w:tc>
      </w:tr>
    </w:tbl>
    <w:p w14:paraId="37327D35" w14:textId="77777777" w:rsidR="007C2EE2" w:rsidRDefault="007C2EE2" w:rsidP="00816BE1">
      <w:pPr>
        <w:snapToGrid w:val="0"/>
        <w:spacing w:before="120" w:line="276" w:lineRule="auto"/>
      </w:pPr>
    </w:p>
    <w:sectPr w:rsidR="007C2EE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A42F1" w14:textId="77777777" w:rsidR="009246C0" w:rsidRDefault="009246C0">
      <w:r>
        <w:separator/>
      </w:r>
    </w:p>
  </w:endnote>
  <w:endnote w:type="continuationSeparator" w:id="0">
    <w:p w14:paraId="51D594FE" w14:textId="77777777" w:rsidR="009246C0" w:rsidRDefault="0092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35264" w14:textId="77777777" w:rsidR="009246C0" w:rsidRDefault="009246C0">
      <w:r>
        <w:separator/>
      </w:r>
    </w:p>
  </w:footnote>
  <w:footnote w:type="continuationSeparator" w:id="0">
    <w:p w14:paraId="48D14ECA" w14:textId="77777777" w:rsidR="009246C0" w:rsidRDefault="00924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FE3465"/>
    <w:multiLevelType w:val="multilevel"/>
    <w:tmpl w:val="0FFE3465"/>
    <w:lvl w:ilvl="0">
      <w:start w:val="2"/>
      <w:numFmt w:val="bullet"/>
      <w:lvlText w:val="-"/>
      <w:lvlJc w:val="left"/>
      <w:pPr>
        <w:ind w:left="720" w:hanging="360"/>
      </w:pPr>
      <w:rPr>
        <w:rFonts w:ascii="Calibri" w:eastAsia="微软雅黑"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6D396D"/>
    <w:multiLevelType w:val="multilevel"/>
    <w:tmpl w:val="786D396D"/>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4"/>
  </w:num>
  <w:num w:numId="2">
    <w:abstractNumId w:val="1"/>
  </w:num>
  <w:num w:numId="3">
    <w:abstractNumId w:val="9"/>
  </w:num>
  <w:num w:numId="4">
    <w:abstractNumId w:val="2"/>
  </w:num>
  <w:num w:numId="5">
    <w:abstractNumId w:val="8"/>
  </w:num>
  <w:num w:numId="6">
    <w:abstractNumId w:val="5"/>
  </w:num>
  <w:num w:numId="7">
    <w:abstractNumId w:val="7"/>
  </w:num>
  <w:num w:numId="8">
    <w:abstractNumId w:val="6"/>
  </w:num>
  <w:num w:numId="9">
    <w:abstractNumId w:val="10"/>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1B2"/>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3D"/>
    <w:rsid w:val="00035AC1"/>
    <w:rsid w:val="0003672F"/>
    <w:rsid w:val="0003683B"/>
    <w:rsid w:val="00037056"/>
    <w:rsid w:val="00037425"/>
    <w:rsid w:val="00037914"/>
    <w:rsid w:val="00037A53"/>
    <w:rsid w:val="00037F02"/>
    <w:rsid w:val="00040493"/>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C91"/>
    <w:rsid w:val="00046D80"/>
    <w:rsid w:val="00046F8F"/>
    <w:rsid w:val="0004727C"/>
    <w:rsid w:val="00047442"/>
    <w:rsid w:val="00047640"/>
    <w:rsid w:val="00047749"/>
    <w:rsid w:val="0005023D"/>
    <w:rsid w:val="00050460"/>
    <w:rsid w:val="00050B16"/>
    <w:rsid w:val="000511F9"/>
    <w:rsid w:val="00051233"/>
    <w:rsid w:val="000514AD"/>
    <w:rsid w:val="00051554"/>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7EE"/>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209"/>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78D"/>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0C2"/>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4F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A7C98"/>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3D02"/>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01"/>
    <w:rsid w:val="000C45FD"/>
    <w:rsid w:val="000C4E71"/>
    <w:rsid w:val="000C513B"/>
    <w:rsid w:val="000C5A5B"/>
    <w:rsid w:val="000C612B"/>
    <w:rsid w:val="000C6216"/>
    <w:rsid w:val="000C621D"/>
    <w:rsid w:val="000C658B"/>
    <w:rsid w:val="000C662C"/>
    <w:rsid w:val="000C67B3"/>
    <w:rsid w:val="000C6987"/>
    <w:rsid w:val="000C6E02"/>
    <w:rsid w:val="000C735E"/>
    <w:rsid w:val="000C772F"/>
    <w:rsid w:val="000D0027"/>
    <w:rsid w:val="000D0335"/>
    <w:rsid w:val="000D08C9"/>
    <w:rsid w:val="000D1281"/>
    <w:rsid w:val="000D1577"/>
    <w:rsid w:val="000D1D4F"/>
    <w:rsid w:val="000D236D"/>
    <w:rsid w:val="000D2535"/>
    <w:rsid w:val="000D2B90"/>
    <w:rsid w:val="000D3205"/>
    <w:rsid w:val="000D3351"/>
    <w:rsid w:val="000D338E"/>
    <w:rsid w:val="000D36B1"/>
    <w:rsid w:val="000D38C0"/>
    <w:rsid w:val="000D3912"/>
    <w:rsid w:val="000D3CB2"/>
    <w:rsid w:val="000D45ED"/>
    <w:rsid w:val="000D4B1B"/>
    <w:rsid w:val="000D4F32"/>
    <w:rsid w:val="000D56E8"/>
    <w:rsid w:val="000D59AC"/>
    <w:rsid w:val="000D5A2D"/>
    <w:rsid w:val="000D6323"/>
    <w:rsid w:val="000D6626"/>
    <w:rsid w:val="000D6787"/>
    <w:rsid w:val="000D6D54"/>
    <w:rsid w:val="000D6FFB"/>
    <w:rsid w:val="000D7412"/>
    <w:rsid w:val="000D7D65"/>
    <w:rsid w:val="000E0C7D"/>
    <w:rsid w:val="000E0D2B"/>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E7E51"/>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66C"/>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73"/>
    <w:rsid w:val="00132EA3"/>
    <w:rsid w:val="001338E2"/>
    <w:rsid w:val="00134041"/>
    <w:rsid w:val="00134079"/>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EB9"/>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797"/>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CBC"/>
    <w:rsid w:val="00165DB6"/>
    <w:rsid w:val="0016622D"/>
    <w:rsid w:val="001662D0"/>
    <w:rsid w:val="0016634B"/>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A27"/>
    <w:rsid w:val="00172DC0"/>
    <w:rsid w:val="0017329A"/>
    <w:rsid w:val="00173F96"/>
    <w:rsid w:val="00174A1D"/>
    <w:rsid w:val="00174EC2"/>
    <w:rsid w:val="0017551C"/>
    <w:rsid w:val="001756C2"/>
    <w:rsid w:val="00175715"/>
    <w:rsid w:val="00175CD8"/>
    <w:rsid w:val="00175DE8"/>
    <w:rsid w:val="00176645"/>
    <w:rsid w:val="00176ED6"/>
    <w:rsid w:val="00177943"/>
    <w:rsid w:val="00180418"/>
    <w:rsid w:val="00180811"/>
    <w:rsid w:val="0018082A"/>
    <w:rsid w:val="00180D92"/>
    <w:rsid w:val="0018167F"/>
    <w:rsid w:val="00181E94"/>
    <w:rsid w:val="00182199"/>
    <w:rsid w:val="001821AE"/>
    <w:rsid w:val="00182415"/>
    <w:rsid w:val="0018292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075"/>
    <w:rsid w:val="001942DB"/>
    <w:rsid w:val="0019461B"/>
    <w:rsid w:val="00194B45"/>
    <w:rsid w:val="0019543D"/>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C4"/>
    <w:rsid w:val="001A656C"/>
    <w:rsid w:val="001A6C7B"/>
    <w:rsid w:val="001A6EE8"/>
    <w:rsid w:val="001A6EF8"/>
    <w:rsid w:val="001A719D"/>
    <w:rsid w:val="001A780E"/>
    <w:rsid w:val="001A789F"/>
    <w:rsid w:val="001A7FFD"/>
    <w:rsid w:val="001B065B"/>
    <w:rsid w:val="001B0D18"/>
    <w:rsid w:val="001B128B"/>
    <w:rsid w:val="001B1A58"/>
    <w:rsid w:val="001B1B6E"/>
    <w:rsid w:val="001B1BF9"/>
    <w:rsid w:val="001B2031"/>
    <w:rsid w:val="001B223E"/>
    <w:rsid w:val="001B286C"/>
    <w:rsid w:val="001B290F"/>
    <w:rsid w:val="001B2E7D"/>
    <w:rsid w:val="001B2F9D"/>
    <w:rsid w:val="001B3445"/>
    <w:rsid w:val="001B3AFA"/>
    <w:rsid w:val="001B4146"/>
    <w:rsid w:val="001B479F"/>
    <w:rsid w:val="001B488B"/>
    <w:rsid w:val="001B4B04"/>
    <w:rsid w:val="001B4C59"/>
    <w:rsid w:val="001B55B0"/>
    <w:rsid w:val="001B63E6"/>
    <w:rsid w:val="001B6832"/>
    <w:rsid w:val="001B6AE6"/>
    <w:rsid w:val="001B6BFB"/>
    <w:rsid w:val="001B7093"/>
    <w:rsid w:val="001B7D8D"/>
    <w:rsid w:val="001B7F8C"/>
    <w:rsid w:val="001C016A"/>
    <w:rsid w:val="001C0683"/>
    <w:rsid w:val="001C0784"/>
    <w:rsid w:val="001C0C81"/>
    <w:rsid w:val="001C107D"/>
    <w:rsid w:val="001C125B"/>
    <w:rsid w:val="001C14EC"/>
    <w:rsid w:val="001C15DA"/>
    <w:rsid w:val="001C1778"/>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5E"/>
    <w:rsid w:val="001D1A64"/>
    <w:rsid w:val="001D202B"/>
    <w:rsid w:val="001D23C2"/>
    <w:rsid w:val="001D241B"/>
    <w:rsid w:val="001D2ABA"/>
    <w:rsid w:val="001D2C54"/>
    <w:rsid w:val="001D2C8A"/>
    <w:rsid w:val="001D3743"/>
    <w:rsid w:val="001D3830"/>
    <w:rsid w:val="001D3864"/>
    <w:rsid w:val="001D4102"/>
    <w:rsid w:val="001D4501"/>
    <w:rsid w:val="001D4863"/>
    <w:rsid w:val="001D4B44"/>
    <w:rsid w:val="001D4BCF"/>
    <w:rsid w:val="001D4F9E"/>
    <w:rsid w:val="001D5505"/>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A4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6DE1"/>
    <w:rsid w:val="0023735A"/>
    <w:rsid w:val="00240018"/>
    <w:rsid w:val="002400C4"/>
    <w:rsid w:val="0024158C"/>
    <w:rsid w:val="0024178F"/>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9F2"/>
    <w:rsid w:val="00264F32"/>
    <w:rsid w:val="00265292"/>
    <w:rsid w:val="002652D5"/>
    <w:rsid w:val="00265645"/>
    <w:rsid w:val="00265943"/>
    <w:rsid w:val="00265A60"/>
    <w:rsid w:val="00265A76"/>
    <w:rsid w:val="00265E93"/>
    <w:rsid w:val="00265FB1"/>
    <w:rsid w:val="002661DA"/>
    <w:rsid w:val="00266830"/>
    <w:rsid w:val="002669F1"/>
    <w:rsid w:val="00266FC3"/>
    <w:rsid w:val="00267333"/>
    <w:rsid w:val="00267410"/>
    <w:rsid w:val="0026792B"/>
    <w:rsid w:val="00270185"/>
    <w:rsid w:val="00270387"/>
    <w:rsid w:val="00270C59"/>
    <w:rsid w:val="00271831"/>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7AF"/>
    <w:rsid w:val="002768EF"/>
    <w:rsid w:val="00276AA2"/>
    <w:rsid w:val="00276C3F"/>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765"/>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67D"/>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95"/>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4F4F"/>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1BB"/>
    <w:rsid w:val="002D7417"/>
    <w:rsid w:val="002E03A9"/>
    <w:rsid w:val="002E054C"/>
    <w:rsid w:val="002E0814"/>
    <w:rsid w:val="002E0AFB"/>
    <w:rsid w:val="002E0E45"/>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07BDC"/>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65E"/>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B70"/>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4D3"/>
    <w:rsid w:val="003716F5"/>
    <w:rsid w:val="0037170D"/>
    <w:rsid w:val="0037189D"/>
    <w:rsid w:val="00371C3B"/>
    <w:rsid w:val="00371D84"/>
    <w:rsid w:val="00372595"/>
    <w:rsid w:val="00372613"/>
    <w:rsid w:val="00372779"/>
    <w:rsid w:val="00372A1F"/>
    <w:rsid w:val="00372E81"/>
    <w:rsid w:val="00372FCC"/>
    <w:rsid w:val="00373124"/>
    <w:rsid w:val="0037381B"/>
    <w:rsid w:val="00373AE2"/>
    <w:rsid w:val="00373F2B"/>
    <w:rsid w:val="00374862"/>
    <w:rsid w:val="003748B1"/>
    <w:rsid w:val="00374932"/>
    <w:rsid w:val="00374EB0"/>
    <w:rsid w:val="00374F9E"/>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2EED"/>
    <w:rsid w:val="00383AF2"/>
    <w:rsid w:val="00383D91"/>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3B4"/>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68D"/>
    <w:rsid w:val="003B5AA1"/>
    <w:rsid w:val="003B5C2A"/>
    <w:rsid w:val="003B5C60"/>
    <w:rsid w:val="003B6070"/>
    <w:rsid w:val="003B653D"/>
    <w:rsid w:val="003B65F8"/>
    <w:rsid w:val="003B66A6"/>
    <w:rsid w:val="003B75B2"/>
    <w:rsid w:val="003C0174"/>
    <w:rsid w:val="003C0229"/>
    <w:rsid w:val="003C02AC"/>
    <w:rsid w:val="003C0622"/>
    <w:rsid w:val="003C0D83"/>
    <w:rsid w:val="003C0FFF"/>
    <w:rsid w:val="003C1127"/>
    <w:rsid w:val="003C14D1"/>
    <w:rsid w:val="003C15B8"/>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5836"/>
    <w:rsid w:val="003D5AAE"/>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9F"/>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0741"/>
    <w:rsid w:val="0041147C"/>
    <w:rsid w:val="004114C8"/>
    <w:rsid w:val="00411551"/>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6C54"/>
    <w:rsid w:val="004176FF"/>
    <w:rsid w:val="00420217"/>
    <w:rsid w:val="0042028C"/>
    <w:rsid w:val="00420C65"/>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8DE"/>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01C"/>
    <w:rsid w:val="0044120D"/>
    <w:rsid w:val="00441AE8"/>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3F"/>
    <w:rsid w:val="004701D9"/>
    <w:rsid w:val="004704F0"/>
    <w:rsid w:val="00470EC6"/>
    <w:rsid w:val="004710E6"/>
    <w:rsid w:val="0047190F"/>
    <w:rsid w:val="00471A07"/>
    <w:rsid w:val="00471B82"/>
    <w:rsid w:val="004721D5"/>
    <w:rsid w:val="004724E0"/>
    <w:rsid w:val="004726E2"/>
    <w:rsid w:val="00472DBC"/>
    <w:rsid w:val="00473924"/>
    <w:rsid w:val="00473CEF"/>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39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670"/>
    <w:rsid w:val="004A5997"/>
    <w:rsid w:val="004A62A0"/>
    <w:rsid w:val="004A6826"/>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883"/>
    <w:rsid w:val="004B592A"/>
    <w:rsid w:val="004B5AB0"/>
    <w:rsid w:val="004B5C73"/>
    <w:rsid w:val="004B60C8"/>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023"/>
    <w:rsid w:val="004C4301"/>
    <w:rsid w:val="004C452A"/>
    <w:rsid w:val="004C4C6C"/>
    <w:rsid w:val="004C5700"/>
    <w:rsid w:val="004C600F"/>
    <w:rsid w:val="004C61B9"/>
    <w:rsid w:val="004C6867"/>
    <w:rsid w:val="004C737B"/>
    <w:rsid w:val="004C73D6"/>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E58"/>
    <w:rsid w:val="004E0F2A"/>
    <w:rsid w:val="004E1030"/>
    <w:rsid w:val="004E1230"/>
    <w:rsid w:val="004E1B3E"/>
    <w:rsid w:val="004E1D09"/>
    <w:rsid w:val="004E1DA7"/>
    <w:rsid w:val="004E2242"/>
    <w:rsid w:val="004E27A5"/>
    <w:rsid w:val="004E2F4A"/>
    <w:rsid w:val="004E32F4"/>
    <w:rsid w:val="004E3462"/>
    <w:rsid w:val="004E3899"/>
    <w:rsid w:val="004E4787"/>
    <w:rsid w:val="004E4D6D"/>
    <w:rsid w:val="004E4F33"/>
    <w:rsid w:val="004E4FAA"/>
    <w:rsid w:val="004E546B"/>
    <w:rsid w:val="004E5521"/>
    <w:rsid w:val="004E594B"/>
    <w:rsid w:val="004E604B"/>
    <w:rsid w:val="004E6579"/>
    <w:rsid w:val="004E67D5"/>
    <w:rsid w:val="004E6F16"/>
    <w:rsid w:val="004E72F9"/>
    <w:rsid w:val="004F00EC"/>
    <w:rsid w:val="004F02D8"/>
    <w:rsid w:val="004F0D2A"/>
    <w:rsid w:val="004F0DB4"/>
    <w:rsid w:val="004F1097"/>
    <w:rsid w:val="004F1321"/>
    <w:rsid w:val="004F1A95"/>
    <w:rsid w:val="004F2ADF"/>
    <w:rsid w:val="004F3489"/>
    <w:rsid w:val="004F3611"/>
    <w:rsid w:val="004F4ED7"/>
    <w:rsid w:val="004F5025"/>
    <w:rsid w:val="004F53B8"/>
    <w:rsid w:val="004F5835"/>
    <w:rsid w:val="004F5A41"/>
    <w:rsid w:val="004F5B88"/>
    <w:rsid w:val="004F5C7E"/>
    <w:rsid w:val="004F5EBA"/>
    <w:rsid w:val="004F64EC"/>
    <w:rsid w:val="004F6C3E"/>
    <w:rsid w:val="004F6CA5"/>
    <w:rsid w:val="004F6D18"/>
    <w:rsid w:val="004F6D22"/>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23C5"/>
    <w:rsid w:val="005237A4"/>
    <w:rsid w:val="005237A5"/>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3BC2"/>
    <w:rsid w:val="00543C60"/>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5D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67E30"/>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47D"/>
    <w:rsid w:val="005746CF"/>
    <w:rsid w:val="00574BFF"/>
    <w:rsid w:val="00575D25"/>
    <w:rsid w:val="0057610E"/>
    <w:rsid w:val="00576727"/>
    <w:rsid w:val="00576E2C"/>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663"/>
    <w:rsid w:val="00584B74"/>
    <w:rsid w:val="00584FB7"/>
    <w:rsid w:val="005852A4"/>
    <w:rsid w:val="00585431"/>
    <w:rsid w:val="00585D35"/>
    <w:rsid w:val="0058632E"/>
    <w:rsid w:val="005869C9"/>
    <w:rsid w:val="00587142"/>
    <w:rsid w:val="005876BD"/>
    <w:rsid w:val="005879EE"/>
    <w:rsid w:val="00590081"/>
    <w:rsid w:val="00590622"/>
    <w:rsid w:val="00590918"/>
    <w:rsid w:val="00590FD6"/>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97A6F"/>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62"/>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465"/>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2D"/>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8AC"/>
    <w:rsid w:val="005F2C25"/>
    <w:rsid w:val="005F2D9D"/>
    <w:rsid w:val="005F2F39"/>
    <w:rsid w:val="005F3404"/>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0D7B"/>
    <w:rsid w:val="0065205B"/>
    <w:rsid w:val="0065227F"/>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AB5"/>
    <w:rsid w:val="00656E1E"/>
    <w:rsid w:val="00656E9F"/>
    <w:rsid w:val="006574B9"/>
    <w:rsid w:val="006574DD"/>
    <w:rsid w:val="006578CE"/>
    <w:rsid w:val="00657F49"/>
    <w:rsid w:val="0066005F"/>
    <w:rsid w:val="006605A2"/>
    <w:rsid w:val="00660B4F"/>
    <w:rsid w:val="0066174C"/>
    <w:rsid w:val="00661F63"/>
    <w:rsid w:val="006625C1"/>
    <w:rsid w:val="006627E7"/>
    <w:rsid w:val="00662C69"/>
    <w:rsid w:val="00662D5D"/>
    <w:rsid w:val="006635FD"/>
    <w:rsid w:val="00663DC6"/>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463"/>
    <w:rsid w:val="00670694"/>
    <w:rsid w:val="006717A3"/>
    <w:rsid w:val="006719FE"/>
    <w:rsid w:val="00671C7D"/>
    <w:rsid w:val="00671E28"/>
    <w:rsid w:val="00672309"/>
    <w:rsid w:val="00673312"/>
    <w:rsid w:val="006734ED"/>
    <w:rsid w:val="00673767"/>
    <w:rsid w:val="00673A4B"/>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722"/>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40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349"/>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12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0E"/>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5"/>
    <w:rsid w:val="006E509D"/>
    <w:rsid w:val="006E580F"/>
    <w:rsid w:val="006E5A34"/>
    <w:rsid w:val="006E5CA7"/>
    <w:rsid w:val="006E60B9"/>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784"/>
    <w:rsid w:val="007019E0"/>
    <w:rsid w:val="00701A28"/>
    <w:rsid w:val="00701B15"/>
    <w:rsid w:val="00701BD2"/>
    <w:rsid w:val="00701CED"/>
    <w:rsid w:val="00701D85"/>
    <w:rsid w:val="00701FBB"/>
    <w:rsid w:val="00701FCD"/>
    <w:rsid w:val="00701FFC"/>
    <w:rsid w:val="007020CE"/>
    <w:rsid w:val="00702C37"/>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788"/>
    <w:rsid w:val="00707818"/>
    <w:rsid w:val="0070791A"/>
    <w:rsid w:val="00710034"/>
    <w:rsid w:val="00710522"/>
    <w:rsid w:val="0071077E"/>
    <w:rsid w:val="00710DE8"/>
    <w:rsid w:val="00710FA3"/>
    <w:rsid w:val="007110E5"/>
    <w:rsid w:val="0071136B"/>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974"/>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F38"/>
    <w:rsid w:val="00727275"/>
    <w:rsid w:val="00727DF5"/>
    <w:rsid w:val="00727FD1"/>
    <w:rsid w:val="00731AD8"/>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394"/>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809"/>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D75"/>
    <w:rsid w:val="0076110B"/>
    <w:rsid w:val="007623B3"/>
    <w:rsid w:val="00762BB9"/>
    <w:rsid w:val="00763E73"/>
    <w:rsid w:val="007640FC"/>
    <w:rsid w:val="0076413F"/>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27B"/>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7A"/>
    <w:rsid w:val="007B55B6"/>
    <w:rsid w:val="007B5C53"/>
    <w:rsid w:val="007B5EBB"/>
    <w:rsid w:val="007B5EE1"/>
    <w:rsid w:val="007B5FF0"/>
    <w:rsid w:val="007B626E"/>
    <w:rsid w:val="007B6300"/>
    <w:rsid w:val="007B6473"/>
    <w:rsid w:val="007B66B4"/>
    <w:rsid w:val="007B6847"/>
    <w:rsid w:val="007B68D6"/>
    <w:rsid w:val="007B7235"/>
    <w:rsid w:val="007B7496"/>
    <w:rsid w:val="007B76CE"/>
    <w:rsid w:val="007B7F1D"/>
    <w:rsid w:val="007C0716"/>
    <w:rsid w:val="007C107C"/>
    <w:rsid w:val="007C162B"/>
    <w:rsid w:val="007C2086"/>
    <w:rsid w:val="007C2235"/>
    <w:rsid w:val="007C2739"/>
    <w:rsid w:val="007C27F7"/>
    <w:rsid w:val="007C2D4C"/>
    <w:rsid w:val="007C2EE2"/>
    <w:rsid w:val="007C3162"/>
    <w:rsid w:val="007C3550"/>
    <w:rsid w:val="007C37F1"/>
    <w:rsid w:val="007C421B"/>
    <w:rsid w:val="007C49E1"/>
    <w:rsid w:val="007C4DA3"/>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144E"/>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EE"/>
    <w:rsid w:val="007E1201"/>
    <w:rsid w:val="007E149C"/>
    <w:rsid w:val="007E1653"/>
    <w:rsid w:val="007E2344"/>
    <w:rsid w:val="007E30DA"/>
    <w:rsid w:val="007E33B2"/>
    <w:rsid w:val="007E4777"/>
    <w:rsid w:val="007E4974"/>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BE1"/>
    <w:rsid w:val="00817A79"/>
    <w:rsid w:val="00817D78"/>
    <w:rsid w:val="00817F48"/>
    <w:rsid w:val="008203BE"/>
    <w:rsid w:val="008204CD"/>
    <w:rsid w:val="008207F1"/>
    <w:rsid w:val="008213D7"/>
    <w:rsid w:val="00821449"/>
    <w:rsid w:val="00821698"/>
    <w:rsid w:val="008218C3"/>
    <w:rsid w:val="00821933"/>
    <w:rsid w:val="00821A4D"/>
    <w:rsid w:val="00822056"/>
    <w:rsid w:val="008222E2"/>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7C8"/>
    <w:rsid w:val="008358CE"/>
    <w:rsid w:val="00836ABB"/>
    <w:rsid w:val="00836B87"/>
    <w:rsid w:val="00836F58"/>
    <w:rsid w:val="00836F7D"/>
    <w:rsid w:val="00837011"/>
    <w:rsid w:val="008416DB"/>
    <w:rsid w:val="0084175F"/>
    <w:rsid w:val="00841815"/>
    <w:rsid w:val="008418D2"/>
    <w:rsid w:val="00841D6A"/>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654"/>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27"/>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3B15"/>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130"/>
    <w:rsid w:val="008E323B"/>
    <w:rsid w:val="008E39A3"/>
    <w:rsid w:val="008E4790"/>
    <w:rsid w:val="008E48C8"/>
    <w:rsid w:val="008E4F3E"/>
    <w:rsid w:val="008E50FB"/>
    <w:rsid w:val="008E5463"/>
    <w:rsid w:val="008E5536"/>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3D6"/>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92"/>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02"/>
    <w:rsid w:val="009225F6"/>
    <w:rsid w:val="009233A9"/>
    <w:rsid w:val="009237FA"/>
    <w:rsid w:val="0092385F"/>
    <w:rsid w:val="009238B7"/>
    <w:rsid w:val="00923E6D"/>
    <w:rsid w:val="009242F0"/>
    <w:rsid w:val="00924457"/>
    <w:rsid w:val="009246C0"/>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3D3"/>
    <w:rsid w:val="00936865"/>
    <w:rsid w:val="00936C50"/>
    <w:rsid w:val="00937910"/>
    <w:rsid w:val="00937E40"/>
    <w:rsid w:val="0094007F"/>
    <w:rsid w:val="009404F6"/>
    <w:rsid w:val="00940B02"/>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6C45"/>
    <w:rsid w:val="0096756E"/>
    <w:rsid w:val="00967F64"/>
    <w:rsid w:val="0097013A"/>
    <w:rsid w:val="0097110C"/>
    <w:rsid w:val="009711DC"/>
    <w:rsid w:val="009711F2"/>
    <w:rsid w:val="0097146B"/>
    <w:rsid w:val="00971506"/>
    <w:rsid w:val="009715FB"/>
    <w:rsid w:val="009716BD"/>
    <w:rsid w:val="009718D3"/>
    <w:rsid w:val="00971F69"/>
    <w:rsid w:val="009726D2"/>
    <w:rsid w:val="00972FE4"/>
    <w:rsid w:val="009730E7"/>
    <w:rsid w:val="0097324C"/>
    <w:rsid w:val="0097330E"/>
    <w:rsid w:val="00973518"/>
    <w:rsid w:val="00973587"/>
    <w:rsid w:val="009738D1"/>
    <w:rsid w:val="0097453E"/>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B84"/>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9AD"/>
    <w:rsid w:val="009A1D73"/>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B764C"/>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97A"/>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2F21"/>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ED"/>
    <w:rsid w:val="009F2B6A"/>
    <w:rsid w:val="009F2FCE"/>
    <w:rsid w:val="009F3A29"/>
    <w:rsid w:val="009F3C15"/>
    <w:rsid w:val="009F3D87"/>
    <w:rsid w:val="009F4CFF"/>
    <w:rsid w:val="009F5A15"/>
    <w:rsid w:val="009F6437"/>
    <w:rsid w:val="009F7762"/>
    <w:rsid w:val="009F77D3"/>
    <w:rsid w:val="009F78C2"/>
    <w:rsid w:val="009F7AD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512"/>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BEA"/>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4D9"/>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08"/>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3B78"/>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3C7E"/>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A3"/>
    <w:rsid w:val="00A80DD0"/>
    <w:rsid w:val="00A81AD8"/>
    <w:rsid w:val="00A81E21"/>
    <w:rsid w:val="00A82317"/>
    <w:rsid w:val="00A8293D"/>
    <w:rsid w:val="00A83337"/>
    <w:rsid w:val="00A83BE5"/>
    <w:rsid w:val="00A83EDB"/>
    <w:rsid w:val="00A83F92"/>
    <w:rsid w:val="00A842E9"/>
    <w:rsid w:val="00A8486A"/>
    <w:rsid w:val="00A84B1E"/>
    <w:rsid w:val="00A84CAA"/>
    <w:rsid w:val="00A84F70"/>
    <w:rsid w:val="00A85097"/>
    <w:rsid w:val="00A853AE"/>
    <w:rsid w:val="00A85568"/>
    <w:rsid w:val="00A856CA"/>
    <w:rsid w:val="00A85FA4"/>
    <w:rsid w:val="00A86292"/>
    <w:rsid w:val="00A864D9"/>
    <w:rsid w:val="00A86633"/>
    <w:rsid w:val="00A86D3F"/>
    <w:rsid w:val="00A87182"/>
    <w:rsid w:val="00A87205"/>
    <w:rsid w:val="00A8720B"/>
    <w:rsid w:val="00A8728F"/>
    <w:rsid w:val="00A87795"/>
    <w:rsid w:val="00A87F13"/>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7C9"/>
    <w:rsid w:val="00AB493B"/>
    <w:rsid w:val="00AB4B6B"/>
    <w:rsid w:val="00AB58A5"/>
    <w:rsid w:val="00AB5EF6"/>
    <w:rsid w:val="00AB6048"/>
    <w:rsid w:val="00AB618E"/>
    <w:rsid w:val="00AB6207"/>
    <w:rsid w:val="00AB6565"/>
    <w:rsid w:val="00AB694B"/>
    <w:rsid w:val="00AB6A19"/>
    <w:rsid w:val="00AB6CC6"/>
    <w:rsid w:val="00AB70E3"/>
    <w:rsid w:val="00AB7367"/>
    <w:rsid w:val="00AB74F1"/>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CE6"/>
    <w:rsid w:val="00AE6310"/>
    <w:rsid w:val="00AE63A7"/>
    <w:rsid w:val="00AE6449"/>
    <w:rsid w:val="00AE6527"/>
    <w:rsid w:val="00AE66D4"/>
    <w:rsid w:val="00AE66F5"/>
    <w:rsid w:val="00AE6BB0"/>
    <w:rsid w:val="00AE6C0F"/>
    <w:rsid w:val="00AE79C1"/>
    <w:rsid w:val="00AE7F79"/>
    <w:rsid w:val="00AF00BB"/>
    <w:rsid w:val="00AF017D"/>
    <w:rsid w:val="00AF02F9"/>
    <w:rsid w:val="00AF039E"/>
    <w:rsid w:val="00AF04AC"/>
    <w:rsid w:val="00AF0AEA"/>
    <w:rsid w:val="00AF1285"/>
    <w:rsid w:val="00AF169F"/>
    <w:rsid w:val="00AF2226"/>
    <w:rsid w:val="00AF25AC"/>
    <w:rsid w:val="00AF29BF"/>
    <w:rsid w:val="00AF2F89"/>
    <w:rsid w:val="00AF3873"/>
    <w:rsid w:val="00AF41EF"/>
    <w:rsid w:val="00AF43A8"/>
    <w:rsid w:val="00AF5708"/>
    <w:rsid w:val="00AF5C0F"/>
    <w:rsid w:val="00AF6DEB"/>
    <w:rsid w:val="00AF7127"/>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8DE"/>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41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0F"/>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3E4F"/>
    <w:rsid w:val="00B34B83"/>
    <w:rsid w:val="00B34D47"/>
    <w:rsid w:val="00B34E18"/>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8CB"/>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0B1F"/>
    <w:rsid w:val="00B91BBC"/>
    <w:rsid w:val="00B91D73"/>
    <w:rsid w:val="00B92255"/>
    <w:rsid w:val="00B925D5"/>
    <w:rsid w:val="00B92EC7"/>
    <w:rsid w:val="00B93008"/>
    <w:rsid w:val="00B932AC"/>
    <w:rsid w:val="00B93755"/>
    <w:rsid w:val="00B93776"/>
    <w:rsid w:val="00B9378B"/>
    <w:rsid w:val="00B944DA"/>
    <w:rsid w:val="00B94682"/>
    <w:rsid w:val="00B948F5"/>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C8"/>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1F0B"/>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99D"/>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D7A7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7F5"/>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984"/>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B9D"/>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4E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1E2"/>
    <w:rsid w:val="00C306DF"/>
    <w:rsid w:val="00C30B02"/>
    <w:rsid w:val="00C30FC4"/>
    <w:rsid w:val="00C3129C"/>
    <w:rsid w:val="00C31BA6"/>
    <w:rsid w:val="00C3257A"/>
    <w:rsid w:val="00C32B36"/>
    <w:rsid w:val="00C34362"/>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2F78"/>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8EA"/>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87FDA"/>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B7BF8"/>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00"/>
    <w:rsid w:val="00CD5F26"/>
    <w:rsid w:val="00CD621D"/>
    <w:rsid w:val="00CD6241"/>
    <w:rsid w:val="00CD6536"/>
    <w:rsid w:val="00CD65E7"/>
    <w:rsid w:val="00CD664F"/>
    <w:rsid w:val="00CD7667"/>
    <w:rsid w:val="00CE04BA"/>
    <w:rsid w:val="00CE0709"/>
    <w:rsid w:val="00CE08EE"/>
    <w:rsid w:val="00CE0A60"/>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5D1"/>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3E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4D2"/>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37B5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565"/>
    <w:rsid w:val="00D565AF"/>
    <w:rsid w:val="00D56BA7"/>
    <w:rsid w:val="00D56CD1"/>
    <w:rsid w:val="00D57363"/>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1C2"/>
    <w:rsid w:val="00D65859"/>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2FB5"/>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84B"/>
    <w:rsid w:val="00D87E8B"/>
    <w:rsid w:val="00D9025E"/>
    <w:rsid w:val="00D90D48"/>
    <w:rsid w:val="00D91811"/>
    <w:rsid w:val="00D91F88"/>
    <w:rsid w:val="00D92BBE"/>
    <w:rsid w:val="00D93445"/>
    <w:rsid w:val="00D93A0F"/>
    <w:rsid w:val="00D93E44"/>
    <w:rsid w:val="00D9409B"/>
    <w:rsid w:val="00D9415C"/>
    <w:rsid w:val="00D9419E"/>
    <w:rsid w:val="00D94C10"/>
    <w:rsid w:val="00D94CF6"/>
    <w:rsid w:val="00D95982"/>
    <w:rsid w:val="00D95DC7"/>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5A8"/>
    <w:rsid w:val="00DB6712"/>
    <w:rsid w:val="00DB69C7"/>
    <w:rsid w:val="00DB6B89"/>
    <w:rsid w:val="00DB6BAE"/>
    <w:rsid w:val="00DB71E9"/>
    <w:rsid w:val="00DB77EB"/>
    <w:rsid w:val="00DB77EE"/>
    <w:rsid w:val="00DB7CCE"/>
    <w:rsid w:val="00DC00BD"/>
    <w:rsid w:val="00DC06DD"/>
    <w:rsid w:val="00DC15AB"/>
    <w:rsid w:val="00DC1ED6"/>
    <w:rsid w:val="00DC1F13"/>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3A2"/>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CB0"/>
    <w:rsid w:val="00DF0F31"/>
    <w:rsid w:val="00DF13E2"/>
    <w:rsid w:val="00DF146E"/>
    <w:rsid w:val="00DF156E"/>
    <w:rsid w:val="00DF15B6"/>
    <w:rsid w:val="00DF268A"/>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2F3"/>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7C"/>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360"/>
    <w:rsid w:val="00E65995"/>
    <w:rsid w:val="00E65C1A"/>
    <w:rsid w:val="00E65F33"/>
    <w:rsid w:val="00E66160"/>
    <w:rsid w:val="00E66185"/>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6DCD"/>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9C7"/>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C77"/>
    <w:rsid w:val="00F10F1C"/>
    <w:rsid w:val="00F11A01"/>
    <w:rsid w:val="00F11C1D"/>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3F49"/>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27DA4"/>
    <w:rsid w:val="00F3027A"/>
    <w:rsid w:val="00F30425"/>
    <w:rsid w:val="00F30AF0"/>
    <w:rsid w:val="00F30E12"/>
    <w:rsid w:val="00F3109B"/>
    <w:rsid w:val="00F31745"/>
    <w:rsid w:val="00F32190"/>
    <w:rsid w:val="00F323E5"/>
    <w:rsid w:val="00F32EB8"/>
    <w:rsid w:val="00F3317A"/>
    <w:rsid w:val="00F331BC"/>
    <w:rsid w:val="00F336D9"/>
    <w:rsid w:val="00F33A7B"/>
    <w:rsid w:val="00F340F7"/>
    <w:rsid w:val="00F3423B"/>
    <w:rsid w:val="00F3430E"/>
    <w:rsid w:val="00F343E8"/>
    <w:rsid w:val="00F349F2"/>
    <w:rsid w:val="00F34A09"/>
    <w:rsid w:val="00F356AF"/>
    <w:rsid w:val="00F3680A"/>
    <w:rsid w:val="00F3697A"/>
    <w:rsid w:val="00F37392"/>
    <w:rsid w:val="00F37AF1"/>
    <w:rsid w:val="00F37B13"/>
    <w:rsid w:val="00F401B1"/>
    <w:rsid w:val="00F40A10"/>
    <w:rsid w:val="00F40FA4"/>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9D7"/>
    <w:rsid w:val="00F63DEC"/>
    <w:rsid w:val="00F640BB"/>
    <w:rsid w:val="00F640E7"/>
    <w:rsid w:val="00F64109"/>
    <w:rsid w:val="00F645F7"/>
    <w:rsid w:val="00F64889"/>
    <w:rsid w:val="00F64D54"/>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1EEC"/>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A9E"/>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A5A"/>
    <w:rsid w:val="00FC55E5"/>
    <w:rsid w:val="00FC57BB"/>
    <w:rsid w:val="00FC59C4"/>
    <w:rsid w:val="00FC5F61"/>
    <w:rsid w:val="00FC604E"/>
    <w:rsid w:val="00FC6451"/>
    <w:rsid w:val="00FC6587"/>
    <w:rsid w:val="00FC67F5"/>
    <w:rsid w:val="00FC6FA9"/>
    <w:rsid w:val="00FC7576"/>
    <w:rsid w:val="00FC7B5E"/>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0"/>
    <w:rsid w:val="00FE1D47"/>
    <w:rsid w:val="00FE2268"/>
    <w:rsid w:val="00FE23D7"/>
    <w:rsid w:val="00FE30BC"/>
    <w:rsid w:val="00FE380A"/>
    <w:rsid w:val="00FE3CDD"/>
    <w:rsid w:val="00FE41B6"/>
    <w:rsid w:val="00FE4CF5"/>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EE3E94"/>
    <w:rsid w:val="02C0760D"/>
    <w:rsid w:val="02E26621"/>
    <w:rsid w:val="02F143D9"/>
    <w:rsid w:val="03260F1A"/>
    <w:rsid w:val="03671619"/>
    <w:rsid w:val="063A27D7"/>
    <w:rsid w:val="06523618"/>
    <w:rsid w:val="07691D81"/>
    <w:rsid w:val="083C32D3"/>
    <w:rsid w:val="091C28AB"/>
    <w:rsid w:val="09BE52B0"/>
    <w:rsid w:val="09F0107B"/>
    <w:rsid w:val="0A3568DD"/>
    <w:rsid w:val="0A821F4F"/>
    <w:rsid w:val="0AD84D58"/>
    <w:rsid w:val="0B1B40AA"/>
    <w:rsid w:val="0BDD0A5C"/>
    <w:rsid w:val="0BF174C7"/>
    <w:rsid w:val="0C5E5227"/>
    <w:rsid w:val="0C83320A"/>
    <w:rsid w:val="0C93296B"/>
    <w:rsid w:val="0D916E42"/>
    <w:rsid w:val="0DBF76CB"/>
    <w:rsid w:val="0DE736EE"/>
    <w:rsid w:val="0DF657E7"/>
    <w:rsid w:val="0E6E39B2"/>
    <w:rsid w:val="0EA90EC7"/>
    <w:rsid w:val="0F4A6A1A"/>
    <w:rsid w:val="0FA90635"/>
    <w:rsid w:val="11E1603F"/>
    <w:rsid w:val="11FA03DD"/>
    <w:rsid w:val="120363E0"/>
    <w:rsid w:val="126470AF"/>
    <w:rsid w:val="127E0240"/>
    <w:rsid w:val="12B755C7"/>
    <w:rsid w:val="12F6017F"/>
    <w:rsid w:val="136E4323"/>
    <w:rsid w:val="13907C7B"/>
    <w:rsid w:val="140F7FC9"/>
    <w:rsid w:val="145F5D80"/>
    <w:rsid w:val="15DF0982"/>
    <w:rsid w:val="165E2C55"/>
    <w:rsid w:val="167937E5"/>
    <w:rsid w:val="16FD0823"/>
    <w:rsid w:val="171541B9"/>
    <w:rsid w:val="17883C92"/>
    <w:rsid w:val="17A244E7"/>
    <w:rsid w:val="17DA6B0E"/>
    <w:rsid w:val="17E006CB"/>
    <w:rsid w:val="18005551"/>
    <w:rsid w:val="18275253"/>
    <w:rsid w:val="1889564E"/>
    <w:rsid w:val="18C10878"/>
    <w:rsid w:val="194B7BD6"/>
    <w:rsid w:val="1A980F1C"/>
    <w:rsid w:val="1A9A728B"/>
    <w:rsid w:val="1B5A4F2B"/>
    <w:rsid w:val="1C402CF8"/>
    <w:rsid w:val="1CD123EF"/>
    <w:rsid w:val="1CDE52B7"/>
    <w:rsid w:val="1D582623"/>
    <w:rsid w:val="1D6108C2"/>
    <w:rsid w:val="1DB03806"/>
    <w:rsid w:val="1E015993"/>
    <w:rsid w:val="1E5B2551"/>
    <w:rsid w:val="1E85377D"/>
    <w:rsid w:val="1F022D6F"/>
    <w:rsid w:val="1FAC36E4"/>
    <w:rsid w:val="20320919"/>
    <w:rsid w:val="203A5A6E"/>
    <w:rsid w:val="20AC1BCF"/>
    <w:rsid w:val="22202C8C"/>
    <w:rsid w:val="223B6D59"/>
    <w:rsid w:val="225E2C1C"/>
    <w:rsid w:val="22643FF3"/>
    <w:rsid w:val="22770248"/>
    <w:rsid w:val="22794C7C"/>
    <w:rsid w:val="22B9444B"/>
    <w:rsid w:val="234D1532"/>
    <w:rsid w:val="23994775"/>
    <w:rsid w:val="23D54AE0"/>
    <w:rsid w:val="252971F4"/>
    <w:rsid w:val="25A27916"/>
    <w:rsid w:val="25C92E2F"/>
    <w:rsid w:val="268813BB"/>
    <w:rsid w:val="26DD358F"/>
    <w:rsid w:val="28643EBA"/>
    <w:rsid w:val="28763644"/>
    <w:rsid w:val="2A3724CB"/>
    <w:rsid w:val="2A531DFB"/>
    <w:rsid w:val="2A8B585F"/>
    <w:rsid w:val="2AE65BAD"/>
    <w:rsid w:val="2B3B19A1"/>
    <w:rsid w:val="2BA277C0"/>
    <w:rsid w:val="2D607434"/>
    <w:rsid w:val="2DEB3BC4"/>
    <w:rsid w:val="2E0571E3"/>
    <w:rsid w:val="2E63038B"/>
    <w:rsid w:val="2E6D4943"/>
    <w:rsid w:val="2E761861"/>
    <w:rsid w:val="2E7F6685"/>
    <w:rsid w:val="2FAC04E2"/>
    <w:rsid w:val="30120732"/>
    <w:rsid w:val="3086149B"/>
    <w:rsid w:val="30E4336E"/>
    <w:rsid w:val="31B26C75"/>
    <w:rsid w:val="322D1F84"/>
    <w:rsid w:val="330A162D"/>
    <w:rsid w:val="331F6EF2"/>
    <w:rsid w:val="349C4EDB"/>
    <w:rsid w:val="35376BCC"/>
    <w:rsid w:val="355D2DA4"/>
    <w:rsid w:val="35912350"/>
    <w:rsid w:val="35CC6F8A"/>
    <w:rsid w:val="373C022C"/>
    <w:rsid w:val="37A35B42"/>
    <w:rsid w:val="37EE4506"/>
    <w:rsid w:val="383635C2"/>
    <w:rsid w:val="38530AA9"/>
    <w:rsid w:val="385477EB"/>
    <w:rsid w:val="397A3231"/>
    <w:rsid w:val="397E2150"/>
    <w:rsid w:val="39D15F8C"/>
    <w:rsid w:val="3A0D3961"/>
    <w:rsid w:val="3B1F73CB"/>
    <w:rsid w:val="3B4D00F6"/>
    <w:rsid w:val="3BAD3B0C"/>
    <w:rsid w:val="3BC47111"/>
    <w:rsid w:val="3C0F2A13"/>
    <w:rsid w:val="3CAF7A0C"/>
    <w:rsid w:val="3CB431F6"/>
    <w:rsid w:val="3CFA2928"/>
    <w:rsid w:val="3CFF58C3"/>
    <w:rsid w:val="3D1F1F8C"/>
    <w:rsid w:val="3D342689"/>
    <w:rsid w:val="3D535DB2"/>
    <w:rsid w:val="3DCA53E0"/>
    <w:rsid w:val="3E005DE2"/>
    <w:rsid w:val="3E925E28"/>
    <w:rsid w:val="3F2D6B9A"/>
    <w:rsid w:val="3F514D26"/>
    <w:rsid w:val="3F6C2FCE"/>
    <w:rsid w:val="3FD82C61"/>
    <w:rsid w:val="3FD84A5C"/>
    <w:rsid w:val="409F128B"/>
    <w:rsid w:val="40CA5DBB"/>
    <w:rsid w:val="41B17BB6"/>
    <w:rsid w:val="425D3EA5"/>
    <w:rsid w:val="432700EB"/>
    <w:rsid w:val="4348477F"/>
    <w:rsid w:val="437F52B4"/>
    <w:rsid w:val="43C3623A"/>
    <w:rsid w:val="43F72909"/>
    <w:rsid w:val="445071E0"/>
    <w:rsid w:val="44753B35"/>
    <w:rsid w:val="44BE22E3"/>
    <w:rsid w:val="44BF3856"/>
    <w:rsid w:val="44D05002"/>
    <w:rsid w:val="451426DA"/>
    <w:rsid w:val="455B659B"/>
    <w:rsid w:val="45D01CB2"/>
    <w:rsid w:val="46207A39"/>
    <w:rsid w:val="464C1D11"/>
    <w:rsid w:val="466C4816"/>
    <w:rsid w:val="4714191F"/>
    <w:rsid w:val="473A6592"/>
    <w:rsid w:val="4886785B"/>
    <w:rsid w:val="48925427"/>
    <w:rsid w:val="48BB5360"/>
    <w:rsid w:val="4990663D"/>
    <w:rsid w:val="4A070081"/>
    <w:rsid w:val="4A5E65CE"/>
    <w:rsid w:val="4A66631A"/>
    <w:rsid w:val="4B4B34EE"/>
    <w:rsid w:val="4B5B7B05"/>
    <w:rsid w:val="4C974B37"/>
    <w:rsid w:val="4D007A72"/>
    <w:rsid w:val="4D2B3334"/>
    <w:rsid w:val="4D387149"/>
    <w:rsid w:val="4D4579D2"/>
    <w:rsid w:val="4D926C66"/>
    <w:rsid w:val="4DC05897"/>
    <w:rsid w:val="4E3456F7"/>
    <w:rsid w:val="4E8517A0"/>
    <w:rsid w:val="4F20392C"/>
    <w:rsid w:val="4F2C5B1B"/>
    <w:rsid w:val="4F350E27"/>
    <w:rsid w:val="4F880F1F"/>
    <w:rsid w:val="5080572B"/>
    <w:rsid w:val="51537C51"/>
    <w:rsid w:val="52071D96"/>
    <w:rsid w:val="521B6C41"/>
    <w:rsid w:val="53653760"/>
    <w:rsid w:val="544949B0"/>
    <w:rsid w:val="546135DF"/>
    <w:rsid w:val="54997DA5"/>
    <w:rsid w:val="551D49A2"/>
    <w:rsid w:val="552968C4"/>
    <w:rsid w:val="57505C20"/>
    <w:rsid w:val="577D381B"/>
    <w:rsid w:val="57AC4360"/>
    <w:rsid w:val="57D10535"/>
    <w:rsid w:val="58590FDE"/>
    <w:rsid w:val="58CD5806"/>
    <w:rsid w:val="59327712"/>
    <w:rsid w:val="59872EF9"/>
    <w:rsid w:val="59A84E0A"/>
    <w:rsid w:val="5B2C6D71"/>
    <w:rsid w:val="5BBC7F5C"/>
    <w:rsid w:val="5D7053C9"/>
    <w:rsid w:val="5F804072"/>
    <w:rsid w:val="60DC76F4"/>
    <w:rsid w:val="615C0F0C"/>
    <w:rsid w:val="618475DE"/>
    <w:rsid w:val="61C0713E"/>
    <w:rsid w:val="61CE7DB9"/>
    <w:rsid w:val="62BD262D"/>
    <w:rsid w:val="66F015E0"/>
    <w:rsid w:val="67B94462"/>
    <w:rsid w:val="67CE1741"/>
    <w:rsid w:val="67D03B68"/>
    <w:rsid w:val="690C699C"/>
    <w:rsid w:val="696833AF"/>
    <w:rsid w:val="699A6CEE"/>
    <w:rsid w:val="69B540C0"/>
    <w:rsid w:val="69CE67A3"/>
    <w:rsid w:val="6A131692"/>
    <w:rsid w:val="6AF5215A"/>
    <w:rsid w:val="6B0F7B7E"/>
    <w:rsid w:val="6B2511ED"/>
    <w:rsid w:val="6CB6044A"/>
    <w:rsid w:val="6D7B3BD3"/>
    <w:rsid w:val="6D9A7E14"/>
    <w:rsid w:val="6E170016"/>
    <w:rsid w:val="6E4C173D"/>
    <w:rsid w:val="70807521"/>
    <w:rsid w:val="709D313F"/>
    <w:rsid w:val="70CF4E37"/>
    <w:rsid w:val="70F064D0"/>
    <w:rsid w:val="72B94951"/>
    <w:rsid w:val="72C64227"/>
    <w:rsid w:val="72E80242"/>
    <w:rsid w:val="731474DA"/>
    <w:rsid w:val="73E5665A"/>
    <w:rsid w:val="74096720"/>
    <w:rsid w:val="750C73FE"/>
    <w:rsid w:val="751D3132"/>
    <w:rsid w:val="75250E76"/>
    <w:rsid w:val="75302662"/>
    <w:rsid w:val="75881262"/>
    <w:rsid w:val="75A44310"/>
    <w:rsid w:val="75CD54D4"/>
    <w:rsid w:val="764B70CA"/>
    <w:rsid w:val="768D28B8"/>
    <w:rsid w:val="76974157"/>
    <w:rsid w:val="775F2E03"/>
    <w:rsid w:val="77914EEA"/>
    <w:rsid w:val="78083A00"/>
    <w:rsid w:val="78535C92"/>
    <w:rsid w:val="78A32A04"/>
    <w:rsid w:val="79B64503"/>
    <w:rsid w:val="79BD2F0A"/>
    <w:rsid w:val="79E56A30"/>
    <w:rsid w:val="7A7F3CC5"/>
    <w:rsid w:val="7B0922F8"/>
    <w:rsid w:val="7B0B4B84"/>
    <w:rsid w:val="7BE817E4"/>
    <w:rsid w:val="7C26103C"/>
    <w:rsid w:val="7C775D5B"/>
    <w:rsid w:val="7CF65730"/>
    <w:rsid w:val="7D457C96"/>
    <w:rsid w:val="7E8F660C"/>
    <w:rsid w:val="7EFA1459"/>
    <w:rsid w:val="7F821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59E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6BE1"/>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
    <w:next w:val="a"/>
    <w:link w:val="10"/>
    <w:uiPriority w:val="99"/>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eastAsia="宋体"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rsid w:val="00816BE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16BE1"/>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Normal Indent"/>
    <w:basedOn w:val="a"/>
    <w:qFormat/>
    <w:pPr>
      <w:ind w:firstLine="420"/>
    </w:pPr>
    <w:rPr>
      <w:rFonts w:eastAsia="t" w:cs="Times New Roman"/>
      <w:szCs w:val="20"/>
    </w:rPr>
  </w:style>
  <w:style w:type="paragraph" w:styleId="a7">
    <w:name w:val="caption"/>
    <w:basedOn w:val="a"/>
    <w:next w:val="a"/>
    <w:link w:val="a8"/>
    <w:qFormat/>
    <w:pPr>
      <w:spacing w:before="120" w:after="120"/>
    </w:pPr>
    <w:rPr>
      <w:b/>
      <w:szCs w:val="20"/>
    </w:rPr>
  </w:style>
  <w:style w:type="paragraph" w:styleId="a9">
    <w:name w:val="Document Map"/>
    <w:basedOn w:val="a"/>
    <w:link w:val="aa"/>
    <w:uiPriority w:val="99"/>
    <w:qFormat/>
    <w:pPr>
      <w:shd w:val="clear" w:color="auto" w:fill="000080"/>
    </w:pPr>
    <w:rPr>
      <w:rFonts w:ascii="Tahoma" w:hAnsi="Tahoma" w:cs="Tahoma"/>
    </w:rPr>
  </w:style>
  <w:style w:type="paragraph" w:styleId="ab">
    <w:name w:val="annotation text"/>
    <w:basedOn w:val="a"/>
    <w:link w:val="ac"/>
    <w:qFormat/>
    <w:rPr>
      <w:rFonts w:eastAsia="MS Mincho"/>
    </w:rPr>
  </w:style>
  <w:style w:type="paragraph" w:styleId="ad">
    <w:name w:val="Body Text"/>
    <w:basedOn w:val="a"/>
    <w:link w:val="ae"/>
    <w:qFormat/>
    <w:pPr>
      <w:spacing w:after="120"/>
    </w:pPr>
    <w:rPr>
      <w:szCs w:val="20"/>
      <w:lang w:val="en-GB"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qFormat/>
    <w:rPr>
      <w:rFonts w:ascii="Tahoma" w:hAnsi="Tahoma" w:cs="Tahoma"/>
      <w:sz w:val="16"/>
      <w:szCs w:val="16"/>
    </w:rPr>
  </w:style>
  <w:style w:type="paragraph" w:styleId="af1">
    <w:name w:val="footer"/>
    <w:basedOn w:val="af2"/>
    <w:qFormat/>
    <w:pPr>
      <w:jc w:val="center"/>
    </w:pPr>
    <w:rPr>
      <w:i/>
    </w:rPr>
  </w:style>
  <w:style w:type="paragraph" w:styleId="af2">
    <w:name w:val="header"/>
    <w:link w:val="af3"/>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af4">
    <w:name w:val="footnote text"/>
    <w:basedOn w:val="a"/>
    <w:link w:val="af5"/>
    <w:semiHidden/>
    <w:qFormat/>
    <w:pPr>
      <w:keepLines/>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6">
    <w:name w:val="Normal (Web)"/>
    <w:basedOn w:val="a"/>
    <w:uiPriority w:val="99"/>
    <w:unhideWhenUsed/>
    <w:qFormat/>
    <w:pPr>
      <w:spacing w:before="100" w:beforeAutospacing="1" w:after="100" w:afterAutospacing="1"/>
    </w:pPr>
    <w:rPr>
      <w:rFonts w:ascii="宋体" w:hAnsi="宋体"/>
    </w:r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f7">
    <w:name w:val="Title"/>
    <w:basedOn w:val="a"/>
    <w:next w:val="a"/>
    <w:link w:val="af8"/>
    <w:uiPriority w:val="10"/>
    <w:qFormat/>
    <w:pPr>
      <w:contextualSpacing/>
    </w:pPr>
    <w:rPr>
      <w:rFonts w:asciiTheme="majorHAnsi" w:eastAsiaTheme="majorEastAsia" w:hAnsiTheme="majorHAnsi" w:cstheme="majorBidi"/>
      <w:spacing w:val="-10"/>
      <w:kern w:val="28"/>
      <w:sz w:val="56"/>
      <w:szCs w:val="56"/>
    </w:rPr>
  </w:style>
  <w:style w:type="paragraph" w:styleId="af9">
    <w:name w:val="annotation subject"/>
    <w:basedOn w:val="ab"/>
    <w:next w:val="ab"/>
    <w:link w:val="afa"/>
    <w:uiPriority w:val="99"/>
    <w:qFormat/>
    <w:pPr>
      <w:overflowPunct w:val="0"/>
      <w:autoSpaceDE w:val="0"/>
      <w:autoSpaceDN w:val="0"/>
      <w:adjustRightInd w:val="0"/>
      <w:textAlignment w:val="baseline"/>
    </w:pPr>
    <w:rPr>
      <w:rFonts w:eastAsia="Times New Roman"/>
      <w:b/>
      <w:bCs/>
    </w:rPr>
  </w:style>
  <w:style w:type="table" w:styleId="af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1"/>
    <w:uiPriority w:val="34"/>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c">
    <w:name w:val="Strong"/>
    <w:basedOn w:val="a0"/>
    <w:uiPriority w:val="22"/>
    <w:qFormat/>
    <w:rPr>
      <w:b/>
    </w:rPr>
  </w:style>
  <w:style w:type="character" w:styleId="afd">
    <w:name w:val="page number"/>
    <w:basedOn w:val="a0"/>
    <w:semiHidden/>
    <w:qFormat/>
  </w:style>
  <w:style w:type="character" w:styleId="afe">
    <w:name w:val="FollowedHyperlink"/>
    <w:uiPriority w:val="99"/>
    <w:qFormat/>
    <w:rPr>
      <w:color w:val="800080"/>
      <w:u w:val="single"/>
    </w:rPr>
  </w:style>
  <w:style w:type="character" w:styleId="aff">
    <w:name w:val="Emphasis"/>
    <w:qFormat/>
    <w:rPr>
      <w:i/>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Cs w:val="20"/>
      <w:lang w:val="en-GB" w:eastAsia="en-US"/>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lang w:eastAsia="en-US"/>
    </w:rPr>
  </w:style>
  <w:style w:type="paragraph" w:customStyle="1" w:styleId="B6">
    <w:name w:val="B6"/>
    <w:basedOn w:val="B5"/>
    <w:qFormat/>
  </w:style>
  <w:style w:type="character" w:customStyle="1" w:styleId="a8">
    <w:name w:val="题注 字符"/>
    <w:link w:val="a7"/>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2">
    <w:name w:val="修订1"/>
    <w:hidden/>
    <w:uiPriority w:val="71"/>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f3">
    <w:name w:val="List Paragraph"/>
    <w:basedOn w:val="a"/>
    <w:link w:val="aff4"/>
    <w:uiPriority w:val="34"/>
    <w:qFormat/>
    <w:pPr>
      <w:ind w:left="720"/>
      <w:contextualSpacing/>
    </w:pPr>
    <w:rPr>
      <w:lang w:eastAsia="en-US"/>
    </w:rPr>
  </w:style>
  <w:style w:type="character" w:styleId="aff5">
    <w:name w:val="Placeholder Text"/>
    <w:uiPriority w:val="99"/>
    <w:semiHidden/>
    <w:qFormat/>
    <w:rPr>
      <w:color w:val="808080"/>
    </w:rPr>
  </w:style>
  <w:style w:type="character" w:customStyle="1" w:styleId="af3">
    <w:name w:val="页眉 字符"/>
    <w:link w:val="af2"/>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e">
    <w:name w:val="正文文本 字符"/>
    <w:link w:val="ad"/>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4">
    <w:name w:val="列表段落 字符"/>
    <w:link w:val="aff3"/>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8">
    <w:name w:val="标题 字符"/>
    <w:basedOn w:val="a0"/>
    <w:link w:val="af7"/>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f6">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cs="Times New Roman"/>
      <w:szCs w:val="20"/>
      <w:lang w:val="en-GB" w:eastAsia="en-US"/>
    </w:rPr>
  </w:style>
  <w:style w:type="paragraph" w:customStyle="1" w:styleId="Note">
    <w:name w:val="Note"/>
    <w:basedOn w:val="a"/>
    <w:next w:val="a"/>
    <w:qFormat/>
    <w:pPr>
      <w:widowControl/>
      <w:tabs>
        <w:tab w:val="left" w:pos="284"/>
        <w:tab w:val="left" w:pos="1134"/>
        <w:tab w:val="left" w:pos="1871"/>
        <w:tab w:val="left" w:pos="2268"/>
      </w:tabs>
      <w:overflowPunct w:val="0"/>
      <w:autoSpaceDE w:val="0"/>
      <w:autoSpaceDN w:val="0"/>
      <w:adjustRightInd w:val="0"/>
      <w:spacing w:before="80"/>
      <w:jc w:val="left"/>
      <w:textAlignment w:val="baseline"/>
    </w:pPr>
    <w:rPr>
      <w:rFonts w:cs="Times New Roman"/>
      <w:szCs w:val="20"/>
      <w:lang w:val="en-GB" w:eastAsia="en-US"/>
    </w:rPr>
  </w:style>
  <w:style w:type="paragraph" w:customStyle="1" w:styleId="Tablehead">
    <w:name w:val="Table_head"/>
    <w:basedOn w:val="a"/>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Cs w:val="20"/>
      <w:lang w:val="en-GB" w:eastAsia="en-US"/>
    </w:rPr>
  </w:style>
  <w:style w:type="paragraph" w:customStyle="1" w:styleId="Tabletitle">
    <w:name w:val="Table_title"/>
    <w:basedOn w:val="a"/>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Cs w:val="20"/>
      <w:lang w:val="en-GB" w:eastAsia="en-US"/>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character" w:customStyle="1" w:styleId="af0">
    <w:name w:val="批注框文本 字符"/>
    <w:link w:val="af"/>
    <w:uiPriority w:val="99"/>
    <w:qFormat/>
    <w:rPr>
      <w:rFonts w:ascii="Tahoma" w:eastAsiaTheme="minorEastAsia" w:hAnsi="Tahoma" w:cs="Tahoma"/>
      <w:kern w:val="2"/>
      <w:sz w:val="16"/>
      <w:szCs w:val="16"/>
    </w:rPr>
  </w:style>
  <w:style w:type="character" w:customStyle="1" w:styleId="10">
    <w:name w:val="标题 1 字符"/>
    <w:link w:val="1"/>
    <w:uiPriority w:val="99"/>
    <w:qFormat/>
    <w:rPr>
      <w:rFonts w:ascii="Arial" w:hAnsi="Arial"/>
      <w:kern w:val="2"/>
      <w:sz w:val="36"/>
      <w:szCs w:val="22"/>
      <w:lang w:val="en-GB" w:eastAsia="en-US"/>
    </w:rPr>
  </w:style>
  <w:style w:type="character" w:customStyle="1" w:styleId="30">
    <w:name w:val="标题 3 字符"/>
    <w:link w:val="3"/>
    <w:uiPriority w:val="9"/>
    <w:qFormat/>
    <w:rPr>
      <w:rFonts w:ascii="Arial" w:hAnsi="Arial"/>
      <w:kern w:val="2"/>
      <w:sz w:val="28"/>
      <w:szCs w:val="22"/>
      <w:lang w:val="en-GB" w:eastAsia="en-US"/>
    </w:rPr>
  </w:style>
  <w:style w:type="character" w:customStyle="1" w:styleId="afa">
    <w:name w:val="批注主题 字符"/>
    <w:link w:val="af9"/>
    <w:uiPriority w:val="99"/>
    <w:qFormat/>
    <w:rPr>
      <w:rFonts w:asciiTheme="minorHAnsi" w:eastAsia="Times New Roman" w:hAnsiTheme="minorHAnsi" w:cstheme="minorBidi"/>
      <w:b/>
      <w:bCs/>
      <w:kern w:val="2"/>
      <w:sz w:val="21"/>
      <w:szCs w:val="22"/>
    </w:rPr>
  </w:style>
  <w:style w:type="character" w:customStyle="1" w:styleId="af5">
    <w:name w:val="脚注文本 字符"/>
    <w:link w:val="af4"/>
    <w:semiHidden/>
    <w:qFormat/>
    <w:rPr>
      <w:rFonts w:asciiTheme="minorHAnsi" w:eastAsiaTheme="minorEastAsia" w:hAnsiTheme="minorHAnsi" w:cstheme="minorBidi"/>
      <w:kern w:val="2"/>
      <w:sz w:val="16"/>
      <w:szCs w:val="22"/>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Times New Roman"/>
      <w:szCs w:val="20"/>
      <w:lang w:val="en-GB" w:eastAsia="ko-KR"/>
    </w:rPr>
  </w:style>
  <w:style w:type="character" w:customStyle="1" w:styleId="ac">
    <w:name w:val="批注文字 字符"/>
    <w:basedOn w:val="a0"/>
    <w:link w:val="ab"/>
    <w:qFormat/>
    <w:rPr>
      <w:rFonts w:asciiTheme="minorHAnsi" w:eastAsia="MS Mincho" w:hAnsiTheme="minorHAnsi" w:cstheme="minorBidi"/>
      <w:kern w:val="2"/>
      <w:sz w:val="21"/>
      <w:szCs w:val="22"/>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widowControl/>
      <w:spacing w:before="120" w:after="120" w:line="336" w:lineRule="auto"/>
      <w:ind w:firstLine="397"/>
    </w:pPr>
    <w:rPr>
      <w:rFonts w:eastAsia="Malgun Gothic" w:cs="Times New Roman"/>
      <w:szCs w:val="20"/>
      <w:lang w:val="en-GB" w:eastAsia="ko-KR"/>
    </w:rPr>
  </w:style>
  <w:style w:type="character" w:customStyle="1" w:styleId="word">
    <w:name w:val="word"/>
    <w:basedOn w:val="a0"/>
    <w:qFormat/>
  </w:style>
  <w:style w:type="character" w:customStyle="1" w:styleId="aa">
    <w:name w:val="文档结构图 字符"/>
    <w:link w:val="a9"/>
    <w:uiPriority w:val="99"/>
    <w:qFormat/>
    <w:rPr>
      <w:rFonts w:ascii="Tahoma" w:eastAsiaTheme="minorEastAsia" w:hAnsi="Tahoma" w:cs="Tahoma"/>
      <w:kern w:val="2"/>
      <w:sz w:val="21"/>
      <w:szCs w:val="22"/>
      <w:shd w:val="clear" w:color="auto" w:fill="000080"/>
    </w:rPr>
  </w:style>
  <w:style w:type="character" w:customStyle="1" w:styleId="high-light">
    <w:name w:val="high-light"/>
    <w:basedOn w:val="a0"/>
    <w:qFormat/>
  </w:style>
  <w:style w:type="character" w:customStyle="1" w:styleId="pos">
    <w:name w:val="pos"/>
    <w:basedOn w:val="a0"/>
    <w:qFormat/>
  </w:style>
  <w:style w:type="paragraph" w:customStyle="1" w:styleId="14">
    <w:name w:val="无间隔1"/>
    <w:uiPriority w:val="99"/>
    <w:qFormat/>
    <w:pPr>
      <w:spacing w:after="160" w:line="259" w:lineRule="auto"/>
    </w:pPr>
    <w:rPr>
      <w:rFonts w:ascii="Times New Roman" w:hAnsi="Times New Roman"/>
      <w:sz w:val="22"/>
      <w:szCs w:val="22"/>
    </w:rPr>
  </w:style>
  <w:style w:type="paragraph" w:customStyle="1" w:styleId="RAN1bullet2">
    <w:name w:val="RAN1 bullet2"/>
    <w:basedOn w:val="a"/>
    <w:qFormat/>
    <w:pPr>
      <w:widowControl/>
      <w:numPr>
        <w:ilvl w:val="1"/>
        <w:numId w:val="2"/>
      </w:numPr>
      <w:spacing w:after="200" w:line="276" w:lineRule="auto"/>
      <w:jc w:val="left"/>
    </w:pPr>
    <w:rPr>
      <w:rFonts w:eastAsia="t" w:cs="Times New Roman"/>
      <w:szCs w:val="20"/>
    </w:rPr>
  </w:style>
  <w:style w:type="paragraph" w:customStyle="1" w:styleId="PaperTableCell">
    <w:name w:val="PaperTableCell"/>
    <w:basedOn w:val="a"/>
    <w:qFormat/>
    <w:pPr>
      <w:widowControl/>
    </w:pPr>
    <w:rPr>
      <w:rFonts w:cs="Times New Roman"/>
      <w:sz w:val="16"/>
      <w:szCs w:val="24"/>
      <w:lang w:eastAsia="en-US"/>
    </w:rPr>
  </w:style>
  <w:style w:type="paragraph" w:customStyle="1" w:styleId="-11">
    <w:name w:val="彩色列表 - 强调文字颜色 11"/>
    <w:basedOn w:val="a"/>
    <w:uiPriority w:val="34"/>
    <w:qFormat/>
    <w:pPr>
      <w:ind w:firstLineChars="200" w:firstLine="420"/>
    </w:pPr>
    <w:rPr>
      <w:rFonts w:eastAsia="t" w:cs="Times New Roman"/>
    </w:rPr>
  </w:style>
  <w:style w:type="paragraph" w:customStyle="1" w:styleId="TdocHeader2">
    <w:name w:val="Tdoc_Header_2"/>
    <w:basedOn w:val="a"/>
    <w:qFormat/>
    <w:pPr>
      <w:tabs>
        <w:tab w:val="left" w:pos="1701"/>
        <w:tab w:val="right" w:pos="9072"/>
        <w:tab w:val="right" w:pos="10206"/>
      </w:tabs>
    </w:pPr>
    <w:rPr>
      <w:rFonts w:ascii="Arial" w:eastAsia="Batang" w:hAnsi="Arial" w:cs="Times New Roman"/>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NoSpacing1">
    <w:name w:val="No Spacing1"/>
    <w:uiPriority w:val="1"/>
    <w:qFormat/>
    <w:pPr>
      <w:spacing w:after="160" w:line="259" w:lineRule="auto"/>
    </w:pPr>
    <w:rPr>
      <w:rFonts w:ascii="Times New Roman" w:hAnsi="Times New Roman"/>
      <w:sz w:val="22"/>
      <w:szCs w:val="22"/>
    </w:rPr>
  </w:style>
  <w:style w:type="paragraph" w:customStyle="1" w:styleId="-110">
    <w:name w:val="彩色底纹 - 强调文字颜色 11"/>
    <w:uiPriority w:val="71"/>
    <w:qFormat/>
    <w:pPr>
      <w:spacing w:after="160" w:line="259" w:lineRule="auto"/>
    </w:pPr>
    <w:rPr>
      <w:rFonts w:ascii="Times New Roman" w:hAnsi="Times New Roman"/>
      <w:sz w:val="22"/>
      <w:szCs w:val="22"/>
    </w:rPr>
  </w:style>
  <w:style w:type="paragraph" w:customStyle="1" w:styleId="RAN1bullet1">
    <w:name w:val="RAN1 bullet1"/>
    <w:basedOn w:val="a"/>
    <w:link w:val="RAN1bullet1Char"/>
    <w:qFormat/>
    <w:pPr>
      <w:widowControl/>
      <w:numPr>
        <w:numId w:val="4"/>
      </w:numPr>
      <w:spacing w:after="200" w:line="276" w:lineRule="auto"/>
      <w:jc w:val="left"/>
    </w:pPr>
    <w:rPr>
      <w:rFonts w:eastAsia="t" w:cs="Times New Roman"/>
    </w:rPr>
  </w:style>
  <w:style w:type="paragraph" w:customStyle="1" w:styleId="Style2">
    <w:name w:val="_Style 2"/>
    <w:uiPriority w:val="99"/>
    <w:qFormat/>
    <w:pPr>
      <w:spacing w:after="160" w:line="259" w:lineRule="auto"/>
    </w:pPr>
    <w:rPr>
      <w:rFonts w:ascii="Times New Roman" w:hAnsi="Times New Roman"/>
      <w:sz w:val="22"/>
      <w:szCs w:val="22"/>
    </w:rPr>
  </w:style>
  <w:style w:type="paragraph" w:customStyle="1" w:styleId="Style1">
    <w:name w:val="_Style 1"/>
    <w:uiPriority w:val="99"/>
    <w:qFormat/>
    <w:pPr>
      <w:spacing w:after="160" w:line="259" w:lineRule="auto"/>
    </w:pPr>
    <w:rPr>
      <w:rFonts w:ascii="Times New Roman" w:hAnsi="Times New Roman"/>
      <w:sz w:val="22"/>
      <w:szCs w:val="22"/>
    </w:rPr>
  </w:style>
  <w:style w:type="paragraph" w:customStyle="1" w:styleId="LGTdoc1">
    <w:name w:val="LGTdoc_제목1"/>
    <w:basedOn w:val="a"/>
    <w:qFormat/>
    <w:pPr>
      <w:widowControl/>
      <w:adjustRightInd w:val="0"/>
      <w:snapToGrid w:val="0"/>
      <w:spacing w:after="100" w:afterAutospacing="1"/>
    </w:pPr>
    <w:rPr>
      <w:rFonts w:eastAsia="Batang" w:cs="Times New Roman"/>
      <w:b/>
      <w:snapToGrid w:val="0"/>
      <w:sz w:val="28"/>
      <w:szCs w:val="20"/>
      <w:lang w:val="en-GB" w:eastAsia="ko-KR"/>
    </w:rPr>
  </w:style>
  <w:style w:type="paragraph" w:customStyle="1" w:styleId="aff7">
    <w:name w:val="表格文字居左"/>
    <w:basedOn w:val="a"/>
    <w:next w:val="a"/>
    <w:qFormat/>
    <w:rPr>
      <w:rFonts w:ascii="Arial" w:eastAsia="t" w:hAnsi="Arial" w:cs="宋体"/>
      <w:szCs w:val="20"/>
    </w:rPr>
  </w:style>
  <w:style w:type="paragraph" w:customStyle="1" w:styleId="RAN1text">
    <w:name w:val="RAN1 text"/>
    <w:basedOn w:val="ad"/>
    <w:link w:val="RAN1textChar"/>
    <w:qFormat/>
    <w:pPr>
      <w:spacing w:after="0"/>
    </w:pPr>
    <w:rPr>
      <w:rFonts w:eastAsia="MS Mincho" w:cs="Times New Roman"/>
      <w:color w:val="0000FF"/>
      <w:sz w:val="21"/>
      <w:lang w:val="en-US" w:eastAsia="zh-CN"/>
    </w:rPr>
  </w:style>
  <w:style w:type="paragraph" w:customStyle="1" w:styleId="reader-word-layer">
    <w:name w:val="reader-word-layer"/>
    <w:basedOn w:val="a"/>
    <w:qFormat/>
    <w:pPr>
      <w:widowControl/>
      <w:spacing w:before="100" w:beforeAutospacing="1" w:after="100" w:afterAutospacing="1"/>
      <w:jc w:val="left"/>
    </w:pPr>
    <w:rPr>
      <w:rFonts w:ascii="宋体" w:eastAsia="t" w:hAnsi="宋体" w:cs="宋体"/>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ind w:firstLineChars="200" w:firstLine="420"/>
    </w:pPr>
    <w:rPr>
      <w:rFonts w:eastAsia="t" w:cs="Times New Roman"/>
    </w:rPr>
  </w:style>
  <w:style w:type="table" w:customStyle="1" w:styleId="15">
    <w:name w:val="网格型1"/>
    <w:basedOn w:val="a1"/>
    <w:uiPriority w:val="59"/>
    <w:qFormat/>
    <w:rPr>
      <w:rFonts w:ascii="Times New Roman" w:hAnsi="Times New Roma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text">
    <w:name w:val="text"/>
    <w:basedOn w:val="a"/>
    <w:link w:val="textChar"/>
    <w:qFormat/>
    <w:pPr>
      <w:overflowPunct w:val="0"/>
      <w:autoSpaceDE w:val="0"/>
      <w:autoSpaceDN w:val="0"/>
      <w:adjustRightInd w:val="0"/>
      <w:spacing w:after="240"/>
      <w:textAlignment w:val="baseline"/>
    </w:pPr>
    <w:rPr>
      <w:rFonts w:eastAsia="t" w:cs="Times New Roman"/>
      <w:szCs w:val="20"/>
      <w:lang w:val="en-AU" w:eastAsia="en-GB"/>
    </w:rPr>
  </w:style>
  <w:style w:type="character" w:customStyle="1" w:styleId="textChar">
    <w:name w:val="text Char"/>
    <w:link w:val="text"/>
    <w:qFormat/>
    <w:rPr>
      <w:rFonts w:ascii="Times New Roman" w:eastAsia="t" w:hAnsi="Times New Roman"/>
      <w:sz w:val="24"/>
      <w:lang w:val="en-AU" w:eastAsia="en-GB"/>
    </w:rPr>
  </w:style>
  <w:style w:type="character" w:customStyle="1" w:styleId="RAN1textChar">
    <w:name w:val="RAN1 text Char"/>
    <w:link w:val="RAN1text"/>
    <w:qFormat/>
    <w:rPr>
      <w:rFonts w:ascii="Times New Roman" w:eastAsia="MS Mincho" w:hAnsi="Times New Roman"/>
      <w:color w:val="0000FF"/>
      <w:kern w:val="2"/>
      <w:sz w:val="21"/>
    </w:rPr>
  </w:style>
  <w:style w:type="character" w:customStyle="1" w:styleId="RAN1bullet1Char">
    <w:name w:val="RAN1 bullet1 Char"/>
    <w:link w:val="RAN1bullet1"/>
    <w:qFormat/>
    <w:rPr>
      <w:rFonts w:ascii="Times New Roman" w:eastAsia="t" w:hAnsi="Times New Roman"/>
      <w:szCs w:val="22"/>
    </w:rPr>
  </w:style>
  <w:style w:type="character" w:customStyle="1" w:styleId="Char">
    <w:name w:val="列出段落 Char"/>
    <w:link w:val="16"/>
    <w:uiPriority w:val="34"/>
    <w:qFormat/>
    <w:locked/>
    <w:rPr>
      <w:rFonts w:ascii="Times" w:hAnsi="Times" w:cs="Times"/>
      <w:szCs w:val="24"/>
      <w:lang w:val="en-GB"/>
    </w:rPr>
  </w:style>
  <w:style w:type="paragraph" w:customStyle="1" w:styleId="16">
    <w:name w:val="列出段落1"/>
    <w:basedOn w:val="a"/>
    <w:link w:val="Char"/>
    <w:uiPriority w:val="34"/>
    <w:qFormat/>
    <w:pPr>
      <w:widowControl/>
      <w:ind w:leftChars="400" w:left="840" w:hanging="720"/>
      <w:jc w:val="left"/>
    </w:pPr>
    <w:rPr>
      <w:rFonts w:ascii="Times" w:eastAsia="宋体" w:hAnsi="Times" w:cs="Times"/>
      <w:szCs w:val="24"/>
      <w:lang w:val="en-GB"/>
    </w:rPr>
  </w:style>
  <w:style w:type="paragraph" w:customStyle="1" w:styleId="3GPPHeader">
    <w:name w:val="3GPP_Header"/>
    <w:basedOn w:val="a"/>
    <w:uiPriority w:val="99"/>
    <w:qFormat/>
    <w:pPr>
      <w:widowControl/>
      <w:tabs>
        <w:tab w:val="left" w:pos="1800"/>
        <w:tab w:val="right" w:pos="9360"/>
      </w:tabs>
      <w:overflowPunct w:val="0"/>
      <w:autoSpaceDE w:val="0"/>
      <w:autoSpaceDN w:val="0"/>
      <w:adjustRightInd w:val="0"/>
    </w:pPr>
    <w:rPr>
      <w:rFonts w:ascii="Arial" w:eastAsia="t" w:hAnsi="Arial" w:cs="Times New Roman"/>
      <w:b/>
      <w:szCs w:val="20"/>
      <w:lang w:val="en-GB"/>
    </w:rPr>
  </w:style>
  <w:style w:type="character" w:customStyle="1" w:styleId="17">
    <w:name w:val="占位符文本1"/>
    <w:basedOn w:val="a0"/>
    <w:uiPriority w:val="99"/>
    <w:unhideWhenUsed/>
    <w:qFormat/>
    <w:rPr>
      <w:color w:val="808080"/>
    </w:rPr>
  </w:style>
  <w:style w:type="paragraph" w:customStyle="1" w:styleId="18">
    <w:name w:val="正文1"/>
    <w:qFormat/>
    <w:pPr>
      <w:spacing w:after="160" w:line="259" w:lineRule="auto"/>
      <w:jc w:val="both"/>
    </w:pPr>
    <w:rPr>
      <w:rFonts w:ascii="Times New Roman" w:hAnsi="Times New Roman"/>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widowControl/>
      <w:spacing w:after="200" w:line="276" w:lineRule="auto"/>
      <w:ind w:firstLineChars="200" w:firstLine="420"/>
      <w:jc w:val="left"/>
    </w:pPr>
    <w:rPr>
      <w:rFonts w:eastAsia="t" w:cs="Times New Roman"/>
    </w:rPr>
  </w:style>
  <w:style w:type="paragraph" w:customStyle="1" w:styleId="25">
    <w:name w:val="正文2"/>
    <w:qFormat/>
    <w:pPr>
      <w:spacing w:after="160" w:line="259" w:lineRule="auto"/>
      <w:jc w:val="both"/>
    </w:pPr>
    <w:rPr>
      <w:rFonts w:ascii="Times New Roman" w:hAnsi="Times New Roman"/>
      <w:kern w:val="2"/>
      <w:sz w:val="21"/>
      <w:szCs w:val="21"/>
    </w:rPr>
  </w:style>
  <w:style w:type="paragraph" w:customStyle="1" w:styleId="19">
    <w:name w:val="样式1"/>
    <w:basedOn w:val="a"/>
    <w:link w:val="1Char"/>
    <w:qFormat/>
    <w:pPr>
      <w:widowControl/>
      <w:snapToGrid w:val="0"/>
      <w:spacing w:before="120" w:afterLines="50" w:after="200"/>
    </w:pPr>
    <w:rPr>
      <w:rFonts w:eastAsia="微软雅黑" w:cs="Times New Roman"/>
      <w:b/>
    </w:rPr>
  </w:style>
  <w:style w:type="character" w:customStyle="1" w:styleId="1Char">
    <w:name w:val="样式1 Char"/>
    <w:basedOn w:val="a0"/>
    <w:link w:val="19"/>
    <w:qFormat/>
    <w:rPr>
      <w:rFonts w:ascii="Times New Roman" w:eastAsia="微软雅黑" w:hAnsi="Times New Roman"/>
      <w:b/>
      <w:szCs w:val="22"/>
    </w:rPr>
  </w:style>
  <w:style w:type="paragraph" w:customStyle="1" w:styleId="Style10">
    <w:name w:val="Style1"/>
    <w:basedOn w:val="a"/>
    <w:link w:val="Style1Char"/>
    <w:qFormat/>
    <w:pPr>
      <w:widowControl/>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ascii="Times New Roman" w:eastAsia="Malgun Gothic" w:hAnsi="Times New Roman"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3">
    <w:name w:val="正文3"/>
    <w:qFormat/>
    <w:pPr>
      <w:spacing w:before="100" w:beforeAutospacing="1" w:after="180" w:line="259" w:lineRule="auto"/>
    </w:pPr>
    <w:rPr>
      <w:rFonts w:ascii="Times New Roman" w:hAnsi="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pPr>
      <w:widowControl/>
      <w:spacing w:after="200" w:line="276" w:lineRule="auto"/>
      <w:jc w:val="left"/>
    </w:pPr>
    <w:rPr>
      <w:rFonts w:eastAsia="t" w:cs="Times New Roman"/>
      <w:bCs/>
      <w:i/>
      <w:iCs/>
    </w:rPr>
  </w:style>
  <w:style w:type="paragraph" w:customStyle="1" w:styleId="26">
    <w:name w:val="列出段落2"/>
    <w:basedOn w:val="a"/>
    <w:link w:val="ListParagraphChar"/>
    <w:uiPriority w:val="34"/>
    <w:qFormat/>
    <w:pPr>
      <w:widowControl/>
      <w:spacing w:after="200" w:line="276" w:lineRule="auto"/>
      <w:ind w:firstLineChars="200" w:firstLine="420"/>
      <w:jc w:val="left"/>
    </w:pPr>
    <w:rPr>
      <w:rFonts w:eastAsia="t" w:cs="Times New Roman"/>
    </w:rPr>
  </w:style>
  <w:style w:type="character" w:customStyle="1" w:styleId="ListParagraphChar">
    <w:name w:val="List Paragraph Char"/>
    <w:basedOn w:val="a0"/>
    <w:link w:val="26"/>
    <w:uiPriority w:val="34"/>
    <w:qFormat/>
    <w:locked/>
    <w:rPr>
      <w:rFonts w:ascii="Times New Roman" w:eastAsia="t" w:hAnsi="Times New Roman"/>
      <w:szCs w:val="22"/>
    </w:rPr>
  </w:style>
  <w:style w:type="paragraph" w:customStyle="1" w:styleId="1a">
    <w:name w:val="普通(网站)1"/>
    <w:basedOn w:val="a"/>
    <w:semiHidden/>
    <w:qFormat/>
    <w:pPr>
      <w:widowControl/>
      <w:spacing w:before="100" w:beforeAutospacing="1" w:after="100" w:afterAutospacing="1"/>
      <w:jc w:val="left"/>
    </w:pPr>
    <w:rPr>
      <w:rFonts w:eastAsia="Calibri" w:cs="Times New Roman"/>
      <w:szCs w:val="24"/>
    </w:rPr>
  </w:style>
  <w:style w:type="table" w:customStyle="1" w:styleId="1b">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42">
    <w:name w:val="正文4"/>
    <w:qFormat/>
    <w:pPr>
      <w:spacing w:before="100" w:beforeAutospacing="1" w:after="180" w:line="259" w:lineRule="auto"/>
    </w:pPr>
    <w:rPr>
      <w:rFonts w:ascii="Times New Roman" w:hAnsi="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szCs w:val="22"/>
    </w:rPr>
  </w:style>
  <w:style w:type="character" w:customStyle="1" w:styleId="msoins0">
    <w:name w:val="msoins"/>
    <w:qFormat/>
  </w:style>
  <w:style w:type="paragraph" w:customStyle="1" w:styleId="Agreement">
    <w:name w:val="Agreement"/>
    <w:basedOn w:val="a"/>
    <w:next w:val="Doc-text2"/>
    <w:uiPriority w:val="99"/>
    <w:qFormat/>
    <w:pPr>
      <w:widowControl/>
      <w:numPr>
        <w:numId w:val="5"/>
      </w:numPr>
      <w:spacing w:before="60" w:line="276" w:lineRule="auto"/>
      <w:jc w:val="left"/>
    </w:pPr>
    <w:rPr>
      <w:rFonts w:ascii="Arial" w:eastAsia="t" w:hAnsi="Arial" w:cs="Times New Roman"/>
      <w:b/>
      <w:szCs w:val="24"/>
      <w:lang w:eastAsia="en-GB"/>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tabs>
        <w:tab w:val="clear" w:pos="992"/>
      </w:tabs>
      <w:spacing w:after="120"/>
      <w:ind w:left="0" w:firstLine="0"/>
    </w:pPr>
    <w:rPr>
      <w:rFonts w:eastAsia="MS Mincho"/>
      <w:lang w:val="en-US"/>
    </w:rPr>
  </w:style>
  <w:style w:type="paragraph" w:customStyle="1" w:styleId="xxxmsonormal">
    <w:name w:val="x_xxmsonormal"/>
    <w:basedOn w:val="a"/>
    <w:uiPriority w:val="99"/>
    <w:qFormat/>
    <w:pPr>
      <w:widowControl/>
      <w:spacing w:after="200" w:line="276" w:lineRule="auto"/>
      <w:jc w:val="left"/>
    </w:pPr>
    <w:rPr>
      <w:rFonts w:eastAsia="Malgun Gothic" w:cs="Times New Roman"/>
      <w:lang w:eastAsia="ko-KR"/>
    </w:rPr>
  </w:style>
  <w:style w:type="paragraph" w:customStyle="1" w:styleId="1c">
    <w:name w:val="列表段落1"/>
    <w:basedOn w:val="a"/>
    <w:qFormat/>
    <w:pPr>
      <w:widowControl/>
      <w:autoSpaceDE w:val="0"/>
      <w:autoSpaceDN w:val="0"/>
      <w:adjustRightInd w:val="0"/>
      <w:snapToGrid w:val="0"/>
      <w:spacing w:before="100" w:beforeAutospacing="1" w:after="120"/>
      <w:ind w:firstLineChars="200" w:firstLine="420"/>
    </w:pPr>
    <w:rPr>
      <w:rFonts w:eastAsia="宋体" w:cs="Times New Roman"/>
    </w:rPr>
  </w:style>
  <w:style w:type="paragraph" w:customStyle="1" w:styleId="Style124">
    <w:name w:val="_Style 124"/>
    <w:basedOn w:val="a"/>
    <w:next w:val="aff3"/>
    <w:uiPriority w:val="34"/>
    <w:qFormat/>
    <w:pPr>
      <w:widowControl/>
      <w:overflowPunct w:val="0"/>
      <w:autoSpaceDE w:val="0"/>
      <w:autoSpaceDN w:val="0"/>
      <w:adjustRightInd w:val="0"/>
      <w:spacing w:after="180"/>
      <w:ind w:firstLineChars="200" w:firstLine="420"/>
      <w:jc w:val="left"/>
      <w:textAlignment w:val="baseline"/>
    </w:pPr>
    <w:rPr>
      <w:rFonts w:eastAsia="宋体" w:cs="Times New Roman"/>
      <w:szCs w:val="20"/>
      <w:lang w:val="en-GB" w:eastAsia="ja-JP"/>
    </w:rPr>
  </w:style>
  <w:style w:type="paragraph" w:customStyle="1" w:styleId="enumlev1">
    <w:name w:val="enumlev1"/>
    <w:basedOn w:val="a"/>
    <w:link w:val="enumlev1Char"/>
    <w:qFormat/>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pPr>
    <w:rPr>
      <w:rFonts w:cs="Times New Roman"/>
      <w:szCs w:val="20"/>
      <w:lang w:val="en-GB" w:eastAsia="en-US"/>
    </w:rPr>
  </w:style>
  <w:style w:type="character" w:customStyle="1" w:styleId="enumlev1Char">
    <w:name w:val="enumlev1 Char"/>
    <w:basedOn w:val="a0"/>
    <w:link w:val="enumlev1"/>
    <w:qFormat/>
    <w:rPr>
      <w:rFonts w:ascii="Times New Roman" w:eastAsiaTheme="minorEastAsia" w:hAnsi="Times New Roman"/>
      <w:sz w:val="24"/>
      <w:lang w:val="en-GB" w:eastAsia="en-US"/>
    </w:rPr>
  </w:style>
  <w:style w:type="character" w:customStyle="1" w:styleId="150">
    <w:name w:val="15"/>
    <w:basedOn w:val="a0"/>
    <w:qFormat/>
    <w:rPr>
      <w:rFonts w:ascii="Times New Roman" w:hAnsi="Times New Roman" w:cs="Times New Roman" w:hint="default"/>
    </w:rPr>
  </w:style>
  <w:style w:type="paragraph" w:customStyle="1" w:styleId="Equation">
    <w:name w:val="Equation"/>
    <w:basedOn w:val="a"/>
    <w:link w:val="EquationeqChar"/>
    <w:qFormat/>
    <w:pPr>
      <w:widowControl/>
      <w:tabs>
        <w:tab w:val="left" w:pos="1134"/>
        <w:tab w:val="center" w:pos="4820"/>
        <w:tab w:val="right" w:pos="9639"/>
      </w:tabs>
      <w:overflowPunct w:val="0"/>
      <w:autoSpaceDE w:val="0"/>
      <w:autoSpaceDN w:val="0"/>
      <w:adjustRightInd w:val="0"/>
      <w:spacing w:before="120"/>
      <w:jc w:val="left"/>
      <w:textAlignment w:val="baseline"/>
    </w:pPr>
    <w:rPr>
      <w:rFonts w:cs="Times New Roman"/>
      <w:szCs w:val="20"/>
      <w:lang w:val="en-GB" w:eastAsia="en-US"/>
    </w:rPr>
  </w:style>
  <w:style w:type="character" w:customStyle="1" w:styleId="EquationeqChar">
    <w:name w:val="Equation.eq Char"/>
    <w:basedOn w:val="a0"/>
    <w:link w:val="Equation"/>
    <w:qFormat/>
    <w:locked/>
    <w:rPr>
      <w:rFonts w:ascii="Times New Roman" w:eastAsiaTheme="minorEastAsia" w:hAnsi="Times New Roman"/>
      <w:sz w:val="24"/>
      <w:lang w:val="en-GB" w:eastAsia="en-US"/>
    </w:rPr>
  </w:style>
  <w:style w:type="paragraph" w:customStyle="1" w:styleId="enumlev2">
    <w:name w:val="enumlev2"/>
    <w:basedOn w:val="enumlev1"/>
    <w:qFormat/>
    <w:pPr>
      <w:tabs>
        <w:tab w:val="clear" w:pos="1134"/>
        <w:tab w:val="clear" w:pos="1871"/>
        <w:tab w:val="clear" w:pos="2608"/>
        <w:tab w:val="clear" w:pos="3345"/>
      </w:tabs>
      <w:spacing w:after="100" w:afterAutospacing="1"/>
      <w:ind w:left="1871" w:hanging="737"/>
    </w:pPr>
    <w:rPr>
      <w:rFonts w:eastAsia="宋体"/>
      <w:szCs w:val="24"/>
      <w:lang w:val="en-US" w:eastAsia="zh-CN"/>
    </w:rPr>
  </w:style>
  <w:style w:type="paragraph" w:customStyle="1" w:styleId="52">
    <w:name w:val="正文5"/>
    <w:qFormat/>
    <w:pPr>
      <w:jc w:val="both"/>
    </w:pPr>
    <w:rPr>
      <w:rFonts w:ascii="Times New Roman" w:hAnsi="Times New Roman"/>
      <w:kern w:val="2"/>
      <w:sz w:val="21"/>
      <w:szCs w:val="21"/>
    </w:rPr>
  </w:style>
  <w:style w:type="paragraph" w:customStyle="1" w:styleId="27">
    <w:name w:val="修订2"/>
    <w:hidden/>
    <w:uiPriority w:val="99"/>
    <w:semiHidden/>
    <w:qFormat/>
    <w:rPr>
      <w:rFonts w:ascii="Times New Roman" w:eastAsia="t" w:hAnsi="Times New Roman"/>
      <w:szCs w:val="22"/>
    </w:rPr>
  </w:style>
  <w:style w:type="paragraph" w:customStyle="1" w:styleId="EditorsNote0">
    <w:name w:val="EditorsNote"/>
    <w:basedOn w:val="a"/>
    <w:qFormat/>
    <w:pPr>
      <w:widowControl/>
      <w:tabs>
        <w:tab w:val="left" w:pos="1134"/>
        <w:tab w:val="left" w:pos="1871"/>
        <w:tab w:val="left" w:pos="2268"/>
      </w:tabs>
      <w:spacing w:before="240" w:after="240" w:line="276" w:lineRule="auto"/>
      <w:jc w:val="left"/>
    </w:pPr>
    <w:rPr>
      <w:rFonts w:eastAsia="t" w:cs="Times New Roman"/>
      <w:i/>
      <w:iCs/>
    </w:rPr>
  </w:style>
  <w:style w:type="paragraph" w:customStyle="1" w:styleId="Headingb">
    <w:name w:val="Heading_b"/>
    <w:basedOn w:val="a"/>
    <w:next w:val="a"/>
    <w:qFormat/>
    <w:pPr>
      <w:keepNext/>
      <w:keepLines/>
      <w:widowControl/>
      <w:tabs>
        <w:tab w:val="left" w:pos="1134"/>
        <w:tab w:val="left" w:pos="1871"/>
        <w:tab w:val="left" w:pos="2268"/>
      </w:tabs>
      <w:spacing w:before="160" w:after="200" w:line="276" w:lineRule="auto"/>
      <w:jc w:val="left"/>
    </w:pPr>
    <w:rPr>
      <w:rFonts w:ascii="Times New Roman Bold" w:eastAsia="t" w:hAnsi="Times New Roman Bold" w:cs="Times New Roman Bold"/>
      <w:b/>
    </w:rPr>
  </w:style>
  <w:style w:type="paragraph" w:customStyle="1" w:styleId="60">
    <w:name w:val="正文6"/>
    <w:qFormat/>
    <w:pPr>
      <w:jc w:val="both"/>
    </w:pPr>
    <w:rPr>
      <w:rFonts w:ascii="Arial" w:hAnsi="Arial" w:cs="Arial"/>
      <w:kern w:val="2"/>
      <w:sz w:val="21"/>
      <w:szCs w:val="21"/>
    </w:rPr>
  </w:style>
  <w:style w:type="character" w:customStyle="1" w:styleId="NOChar1">
    <w:name w:val="NO Char1"/>
    <w:qFormat/>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184102.A25420639\Desktop\LinkBudget_real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1" i="0" u="none" strike="noStrike" kern="1200" baseline="0">
                <a:solidFill>
                  <a:schemeClr val="tx1"/>
                </a:solidFill>
                <a:latin typeface="Times New Roman" panose="02020603050405020304" charset="0"/>
                <a:ea typeface="+mn-ea"/>
                <a:cs typeface="Times New Roman" panose="02020603050405020304" charset="0"/>
              </a:defRPr>
            </a:pPr>
            <a:r>
              <a:rPr lang="en-US" sz="1000"/>
              <a:t>Distance - UL Throughput</a:t>
            </a:r>
          </a:p>
        </c:rich>
      </c:tx>
      <c:overlay val="0"/>
    </c:title>
    <c:autoTitleDeleted val="0"/>
    <c:plotArea>
      <c:layout/>
      <c:lineChart>
        <c:grouping val="standard"/>
        <c:varyColors val="0"/>
        <c:ser>
          <c:idx val="0"/>
          <c:order val="0"/>
          <c:tx>
            <c:strRef>
              <c:f>"6.9G 4T256R"</c:f>
              <c:strCache>
                <c:ptCount val="1"/>
                <c:pt idx="0">
                  <c:v>6.9G 4T256R</c:v>
                </c:pt>
              </c:strCache>
            </c:strRef>
          </c:tx>
          <c:marker>
            <c:symbol val="none"/>
          </c:marker>
          <c:cat>
            <c:numRef>
              <c:f>[LinkBudget_real3.xlsx]UL!$A$2:$A$42</c:f>
              <c:numCache>
                <c:formatCode>General</c:formatCode>
                <c:ptCount val="41"/>
                <c:pt idx="0">
                  <c:v>100</c:v>
                </c:pt>
                <c:pt idx="1">
                  <c:v>110</c:v>
                </c:pt>
                <c:pt idx="2">
                  <c:v>120</c:v>
                </c:pt>
                <c:pt idx="3">
                  <c:v>130</c:v>
                </c:pt>
                <c:pt idx="4">
                  <c:v>140</c:v>
                </c:pt>
                <c:pt idx="5">
                  <c:v>150</c:v>
                </c:pt>
                <c:pt idx="6">
                  <c:v>160</c:v>
                </c:pt>
                <c:pt idx="7">
                  <c:v>170</c:v>
                </c:pt>
                <c:pt idx="8">
                  <c:v>180</c:v>
                </c:pt>
                <c:pt idx="9">
                  <c:v>190</c:v>
                </c:pt>
                <c:pt idx="10">
                  <c:v>200</c:v>
                </c:pt>
                <c:pt idx="11">
                  <c:v>210</c:v>
                </c:pt>
                <c:pt idx="12">
                  <c:v>220</c:v>
                </c:pt>
                <c:pt idx="13">
                  <c:v>230</c:v>
                </c:pt>
                <c:pt idx="14">
                  <c:v>240</c:v>
                </c:pt>
                <c:pt idx="15">
                  <c:v>250</c:v>
                </c:pt>
                <c:pt idx="16">
                  <c:v>260</c:v>
                </c:pt>
                <c:pt idx="17">
                  <c:v>270</c:v>
                </c:pt>
                <c:pt idx="18">
                  <c:v>280</c:v>
                </c:pt>
                <c:pt idx="19">
                  <c:v>290</c:v>
                </c:pt>
                <c:pt idx="20">
                  <c:v>300</c:v>
                </c:pt>
                <c:pt idx="21">
                  <c:v>310</c:v>
                </c:pt>
                <c:pt idx="22">
                  <c:v>320</c:v>
                </c:pt>
                <c:pt idx="23">
                  <c:v>330</c:v>
                </c:pt>
                <c:pt idx="24">
                  <c:v>340</c:v>
                </c:pt>
                <c:pt idx="25">
                  <c:v>350</c:v>
                </c:pt>
                <c:pt idx="26">
                  <c:v>360</c:v>
                </c:pt>
                <c:pt idx="27">
                  <c:v>370</c:v>
                </c:pt>
                <c:pt idx="28">
                  <c:v>380</c:v>
                </c:pt>
                <c:pt idx="29">
                  <c:v>390</c:v>
                </c:pt>
                <c:pt idx="30">
                  <c:v>400</c:v>
                </c:pt>
                <c:pt idx="31">
                  <c:v>410</c:v>
                </c:pt>
                <c:pt idx="32">
                  <c:v>420</c:v>
                </c:pt>
                <c:pt idx="33">
                  <c:v>430</c:v>
                </c:pt>
                <c:pt idx="34">
                  <c:v>440</c:v>
                </c:pt>
                <c:pt idx="35">
                  <c:v>450</c:v>
                </c:pt>
                <c:pt idx="36">
                  <c:v>460</c:v>
                </c:pt>
                <c:pt idx="37">
                  <c:v>470</c:v>
                </c:pt>
                <c:pt idx="38">
                  <c:v>480</c:v>
                </c:pt>
                <c:pt idx="39">
                  <c:v>490</c:v>
                </c:pt>
                <c:pt idx="40">
                  <c:v>500</c:v>
                </c:pt>
              </c:numCache>
            </c:numRef>
          </c:cat>
          <c:val>
            <c:numRef>
              <c:f>[LinkBudget_real3.xlsx]UL!$B$2:$B$42</c:f>
              <c:numCache>
                <c:formatCode>General</c:formatCode>
                <c:ptCount val="41"/>
                <c:pt idx="0">
                  <c:v>8.4527999999999999</c:v>
                </c:pt>
                <c:pt idx="1">
                  <c:v>5.5343999999999998</c:v>
                </c:pt>
                <c:pt idx="2">
                  <c:v>4.2240000000000002</c:v>
                </c:pt>
                <c:pt idx="3">
                  <c:v>2.7648000000000001</c:v>
                </c:pt>
                <c:pt idx="4">
                  <c:v>2.0975999999999999</c:v>
                </c:pt>
                <c:pt idx="5">
                  <c:v>1.6752</c:v>
                </c:pt>
                <c:pt idx="6">
                  <c:v>1.4448000000000001</c:v>
                </c:pt>
                <c:pt idx="7">
                  <c:v>1.0416000000000001</c:v>
                </c:pt>
                <c:pt idx="8">
                  <c:v>0.84960000000000002</c:v>
                </c:pt>
                <c:pt idx="9">
                  <c:v>0.67679999999999996</c:v>
                </c:pt>
                <c:pt idx="10">
                  <c:v>0.53280000000000005</c:v>
                </c:pt>
                <c:pt idx="11">
                  <c:v>0.4224</c:v>
                </c:pt>
                <c:pt idx="12">
                  <c:v>0.33119999999999999</c:v>
                </c:pt>
                <c:pt idx="13">
                  <c:v>0.33119999999999999</c:v>
                </c:pt>
                <c:pt idx="14">
                  <c:v>0.25919999999999999</c:v>
                </c:pt>
                <c:pt idx="15">
                  <c:v>0.2112</c:v>
                </c:pt>
                <c:pt idx="16">
                  <c:v>0.2112</c:v>
                </c:pt>
                <c:pt idx="17">
                  <c:v>0.16320000000000001</c:v>
                </c:pt>
                <c:pt idx="18">
                  <c:v>0.13439999999999999</c:v>
                </c:pt>
                <c:pt idx="19">
                  <c:v>0.13439999999999999</c:v>
                </c:pt>
                <c:pt idx="20">
                  <c:v>0.1008</c:v>
                </c:pt>
                <c:pt idx="21">
                  <c:v>0.1008</c:v>
                </c:pt>
                <c:pt idx="22">
                  <c:v>7.1999999999999995E-2</c:v>
                </c:pt>
                <c:pt idx="23">
                  <c:v>7.1999999999999995E-2</c:v>
                </c:pt>
                <c:pt idx="24">
                  <c:v>6.2399999999999997E-2</c:v>
                </c:pt>
                <c:pt idx="25">
                  <c:v>6.2399999999999997E-2</c:v>
                </c:pt>
                <c:pt idx="26">
                  <c:v>4.8000000000000001E-2</c:v>
                </c:pt>
                <c:pt idx="27">
                  <c:v>4.8000000000000001E-2</c:v>
                </c:pt>
                <c:pt idx="28">
                  <c:v>2.8799999999999999E-2</c:v>
                </c:pt>
                <c:pt idx="29">
                  <c:v>2.8799999999999999E-2</c:v>
                </c:pt>
                <c:pt idx="30">
                  <c:v>2.8799999999999999E-2</c:v>
                </c:pt>
                <c:pt idx="31">
                  <c:v>2.8799999999999999E-2</c:v>
                </c:pt>
                <c:pt idx="32">
                  <c:v>1.9199999999999998E-2</c:v>
                </c:pt>
                <c:pt idx="33">
                  <c:v>1.9199999999999998E-2</c:v>
                </c:pt>
                <c:pt idx="34">
                  <c:v>1.9199999999999998E-2</c:v>
                </c:pt>
                <c:pt idx="35">
                  <c:v>0</c:v>
                </c:pt>
                <c:pt idx="36">
                  <c:v>0</c:v>
                </c:pt>
                <c:pt idx="37">
                  <c:v>0</c:v>
                </c:pt>
                <c:pt idx="38">
                  <c:v>0</c:v>
                </c:pt>
                <c:pt idx="39">
                  <c:v>0</c:v>
                </c:pt>
                <c:pt idx="40">
                  <c:v>0</c:v>
                </c:pt>
              </c:numCache>
            </c:numRef>
          </c:val>
          <c:smooth val="0"/>
          <c:extLst>
            <c:ext xmlns:c16="http://schemas.microsoft.com/office/drawing/2014/chart" uri="{C3380CC4-5D6E-409C-BE32-E72D297353CC}">
              <c16:uniqueId val="{00000000-B3C1-490E-B32E-554A777EF9B2}"/>
            </c:ext>
          </c:extLst>
        </c:ser>
        <c:ser>
          <c:idx val="1"/>
          <c:order val="1"/>
          <c:tx>
            <c:strRef>
              <c:f>"6.9G 2T256R"</c:f>
              <c:strCache>
                <c:ptCount val="1"/>
                <c:pt idx="0">
                  <c:v>6.9G 2T256R</c:v>
                </c:pt>
              </c:strCache>
            </c:strRef>
          </c:tx>
          <c:marker>
            <c:symbol val="none"/>
          </c:marker>
          <c:cat>
            <c:numRef>
              <c:f>[LinkBudget_real3.xlsx]UL!$A$2:$A$42</c:f>
              <c:numCache>
                <c:formatCode>General</c:formatCode>
                <c:ptCount val="41"/>
                <c:pt idx="0">
                  <c:v>100</c:v>
                </c:pt>
                <c:pt idx="1">
                  <c:v>110</c:v>
                </c:pt>
                <c:pt idx="2">
                  <c:v>120</c:v>
                </c:pt>
                <c:pt idx="3">
                  <c:v>130</c:v>
                </c:pt>
                <c:pt idx="4">
                  <c:v>140</c:v>
                </c:pt>
                <c:pt idx="5">
                  <c:v>150</c:v>
                </c:pt>
                <c:pt idx="6">
                  <c:v>160</c:v>
                </c:pt>
                <c:pt idx="7">
                  <c:v>170</c:v>
                </c:pt>
                <c:pt idx="8">
                  <c:v>180</c:v>
                </c:pt>
                <c:pt idx="9">
                  <c:v>190</c:v>
                </c:pt>
                <c:pt idx="10">
                  <c:v>200</c:v>
                </c:pt>
                <c:pt idx="11">
                  <c:v>210</c:v>
                </c:pt>
                <c:pt idx="12">
                  <c:v>220</c:v>
                </c:pt>
                <c:pt idx="13">
                  <c:v>230</c:v>
                </c:pt>
                <c:pt idx="14">
                  <c:v>240</c:v>
                </c:pt>
                <c:pt idx="15">
                  <c:v>250</c:v>
                </c:pt>
                <c:pt idx="16">
                  <c:v>260</c:v>
                </c:pt>
                <c:pt idx="17">
                  <c:v>270</c:v>
                </c:pt>
                <c:pt idx="18">
                  <c:v>280</c:v>
                </c:pt>
                <c:pt idx="19">
                  <c:v>290</c:v>
                </c:pt>
                <c:pt idx="20">
                  <c:v>300</c:v>
                </c:pt>
                <c:pt idx="21">
                  <c:v>310</c:v>
                </c:pt>
                <c:pt idx="22">
                  <c:v>320</c:v>
                </c:pt>
                <c:pt idx="23">
                  <c:v>330</c:v>
                </c:pt>
                <c:pt idx="24">
                  <c:v>340</c:v>
                </c:pt>
                <c:pt idx="25">
                  <c:v>350</c:v>
                </c:pt>
                <c:pt idx="26">
                  <c:v>360</c:v>
                </c:pt>
                <c:pt idx="27">
                  <c:v>370</c:v>
                </c:pt>
                <c:pt idx="28">
                  <c:v>380</c:v>
                </c:pt>
                <c:pt idx="29">
                  <c:v>390</c:v>
                </c:pt>
                <c:pt idx="30">
                  <c:v>400</c:v>
                </c:pt>
                <c:pt idx="31">
                  <c:v>410</c:v>
                </c:pt>
                <c:pt idx="32">
                  <c:v>420</c:v>
                </c:pt>
                <c:pt idx="33">
                  <c:v>430</c:v>
                </c:pt>
                <c:pt idx="34">
                  <c:v>440</c:v>
                </c:pt>
                <c:pt idx="35">
                  <c:v>450</c:v>
                </c:pt>
                <c:pt idx="36">
                  <c:v>460</c:v>
                </c:pt>
                <c:pt idx="37">
                  <c:v>470</c:v>
                </c:pt>
                <c:pt idx="38">
                  <c:v>480</c:v>
                </c:pt>
                <c:pt idx="39">
                  <c:v>490</c:v>
                </c:pt>
                <c:pt idx="40">
                  <c:v>500</c:v>
                </c:pt>
              </c:numCache>
            </c:numRef>
          </c:cat>
          <c:val>
            <c:numRef>
              <c:f>[LinkBudget_real3.xlsx]UL!$E$2:$E$42</c:f>
              <c:numCache>
                <c:formatCode>General</c:formatCode>
                <c:ptCount val="41"/>
                <c:pt idx="0">
                  <c:v>5.5343999999999998</c:v>
                </c:pt>
                <c:pt idx="1">
                  <c:v>3.3024</c:v>
                </c:pt>
                <c:pt idx="2">
                  <c:v>2.7648000000000001</c:v>
                </c:pt>
                <c:pt idx="3">
                  <c:v>1.6752</c:v>
                </c:pt>
                <c:pt idx="4">
                  <c:v>1.4448000000000001</c:v>
                </c:pt>
                <c:pt idx="5">
                  <c:v>1.0416000000000001</c:v>
                </c:pt>
                <c:pt idx="6">
                  <c:v>0.84960000000000002</c:v>
                </c:pt>
                <c:pt idx="7">
                  <c:v>0.67679999999999996</c:v>
                </c:pt>
                <c:pt idx="8">
                  <c:v>0.53280000000000005</c:v>
                </c:pt>
                <c:pt idx="9">
                  <c:v>0.4224</c:v>
                </c:pt>
                <c:pt idx="10">
                  <c:v>0.33119999999999999</c:v>
                </c:pt>
                <c:pt idx="11">
                  <c:v>0.25919999999999999</c:v>
                </c:pt>
                <c:pt idx="12">
                  <c:v>0.2112</c:v>
                </c:pt>
                <c:pt idx="13">
                  <c:v>0.2112</c:v>
                </c:pt>
                <c:pt idx="14">
                  <c:v>0.16320000000000001</c:v>
                </c:pt>
                <c:pt idx="15">
                  <c:v>0.13439999999999999</c:v>
                </c:pt>
                <c:pt idx="16">
                  <c:v>0.13439999999999999</c:v>
                </c:pt>
                <c:pt idx="17">
                  <c:v>0.1008</c:v>
                </c:pt>
                <c:pt idx="18">
                  <c:v>7.1999999999999995E-2</c:v>
                </c:pt>
                <c:pt idx="19">
                  <c:v>7.1999999999999995E-2</c:v>
                </c:pt>
                <c:pt idx="20">
                  <c:v>6.2399999999999997E-2</c:v>
                </c:pt>
                <c:pt idx="21">
                  <c:v>6.2399999999999997E-2</c:v>
                </c:pt>
                <c:pt idx="22">
                  <c:v>4.8000000000000001E-2</c:v>
                </c:pt>
                <c:pt idx="23">
                  <c:v>4.8000000000000001E-2</c:v>
                </c:pt>
                <c:pt idx="24">
                  <c:v>2.8799999999999999E-2</c:v>
                </c:pt>
                <c:pt idx="25">
                  <c:v>2.8799999999999999E-2</c:v>
                </c:pt>
                <c:pt idx="26">
                  <c:v>2.8799999999999999E-2</c:v>
                </c:pt>
                <c:pt idx="27">
                  <c:v>2.8799999999999999E-2</c:v>
                </c:pt>
                <c:pt idx="28">
                  <c:v>1.9199999999999998E-2</c:v>
                </c:pt>
                <c:pt idx="29">
                  <c:v>1.9199999999999998E-2</c:v>
                </c:pt>
                <c:pt idx="30">
                  <c:v>0</c:v>
                </c:pt>
                <c:pt idx="31">
                  <c:v>0</c:v>
                </c:pt>
                <c:pt idx="32">
                  <c:v>0</c:v>
                </c:pt>
                <c:pt idx="33">
                  <c:v>0</c:v>
                </c:pt>
                <c:pt idx="34">
                  <c:v>0</c:v>
                </c:pt>
                <c:pt idx="35">
                  <c:v>0</c:v>
                </c:pt>
                <c:pt idx="36">
                  <c:v>0</c:v>
                </c:pt>
                <c:pt idx="37">
                  <c:v>0</c:v>
                </c:pt>
                <c:pt idx="38">
                  <c:v>0</c:v>
                </c:pt>
                <c:pt idx="39">
                  <c:v>0</c:v>
                </c:pt>
                <c:pt idx="40">
                  <c:v>0</c:v>
                </c:pt>
              </c:numCache>
            </c:numRef>
          </c:val>
          <c:smooth val="0"/>
          <c:extLst>
            <c:ext xmlns:c16="http://schemas.microsoft.com/office/drawing/2014/chart" uri="{C3380CC4-5D6E-409C-BE32-E72D297353CC}">
              <c16:uniqueId val="{00000001-B3C1-490E-B32E-554A777EF9B2}"/>
            </c:ext>
          </c:extLst>
        </c:ser>
        <c:ser>
          <c:idx val="2"/>
          <c:order val="2"/>
          <c:tx>
            <c:strRef>
              <c:f>"3.5G 1T64R"</c:f>
              <c:strCache>
                <c:ptCount val="1"/>
                <c:pt idx="0">
                  <c:v>3.5G 1T64R</c:v>
                </c:pt>
              </c:strCache>
            </c:strRef>
          </c:tx>
          <c:marker>
            <c:symbol val="none"/>
          </c:marker>
          <c:cat>
            <c:numRef>
              <c:f>[LinkBudget_real3.xlsx]UL!$A$2:$A$42</c:f>
              <c:numCache>
                <c:formatCode>General</c:formatCode>
                <c:ptCount val="41"/>
                <c:pt idx="0">
                  <c:v>100</c:v>
                </c:pt>
                <c:pt idx="1">
                  <c:v>110</c:v>
                </c:pt>
                <c:pt idx="2">
                  <c:v>120</c:v>
                </c:pt>
                <c:pt idx="3">
                  <c:v>130</c:v>
                </c:pt>
                <c:pt idx="4">
                  <c:v>140</c:v>
                </c:pt>
                <c:pt idx="5">
                  <c:v>150</c:v>
                </c:pt>
                <c:pt idx="6">
                  <c:v>160</c:v>
                </c:pt>
                <c:pt idx="7">
                  <c:v>170</c:v>
                </c:pt>
                <c:pt idx="8">
                  <c:v>180</c:v>
                </c:pt>
                <c:pt idx="9">
                  <c:v>190</c:v>
                </c:pt>
                <c:pt idx="10">
                  <c:v>200</c:v>
                </c:pt>
                <c:pt idx="11">
                  <c:v>210</c:v>
                </c:pt>
                <c:pt idx="12">
                  <c:v>220</c:v>
                </c:pt>
                <c:pt idx="13">
                  <c:v>230</c:v>
                </c:pt>
                <c:pt idx="14">
                  <c:v>240</c:v>
                </c:pt>
                <c:pt idx="15">
                  <c:v>250</c:v>
                </c:pt>
                <c:pt idx="16">
                  <c:v>260</c:v>
                </c:pt>
                <c:pt idx="17">
                  <c:v>270</c:v>
                </c:pt>
                <c:pt idx="18">
                  <c:v>280</c:v>
                </c:pt>
                <c:pt idx="19">
                  <c:v>290</c:v>
                </c:pt>
                <c:pt idx="20">
                  <c:v>300</c:v>
                </c:pt>
                <c:pt idx="21">
                  <c:v>310</c:v>
                </c:pt>
                <c:pt idx="22">
                  <c:v>320</c:v>
                </c:pt>
                <c:pt idx="23">
                  <c:v>330</c:v>
                </c:pt>
                <c:pt idx="24">
                  <c:v>340</c:v>
                </c:pt>
                <c:pt idx="25">
                  <c:v>350</c:v>
                </c:pt>
                <c:pt idx="26">
                  <c:v>360</c:v>
                </c:pt>
                <c:pt idx="27">
                  <c:v>370</c:v>
                </c:pt>
                <c:pt idx="28">
                  <c:v>380</c:v>
                </c:pt>
                <c:pt idx="29">
                  <c:v>390</c:v>
                </c:pt>
                <c:pt idx="30">
                  <c:v>400</c:v>
                </c:pt>
                <c:pt idx="31">
                  <c:v>410</c:v>
                </c:pt>
                <c:pt idx="32">
                  <c:v>420</c:v>
                </c:pt>
                <c:pt idx="33">
                  <c:v>430</c:v>
                </c:pt>
                <c:pt idx="34">
                  <c:v>440</c:v>
                </c:pt>
                <c:pt idx="35">
                  <c:v>450</c:v>
                </c:pt>
                <c:pt idx="36">
                  <c:v>460</c:v>
                </c:pt>
                <c:pt idx="37">
                  <c:v>470</c:v>
                </c:pt>
                <c:pt idx="38">
                  <c:v>480</c:v>
                </c:pt>
                <c:pt idx="39">
                  <c:v>490</c:v>
                </c:pt>
                <c:pt idx="40">
                  <c:v>500</c:v>
                </c:pt>
              </c:numCache>
            </c:numRef>
          </c:cat>
          <c:val>
            <c:numRef>
              <c:f>[LinkBudget_real3.xlsx]UL!$H$2:$H$42</c:f>
              <c:numCache>
                <c:formatCode>General</c:formatCode>
                <c:ptCount val="41"/>
                <c:pt idx="0">
                  <c:v>25.819199999999999</c:v>
                </c:pt>
                <c:pt idx="1">
                  <c:v>16.9008</c:v>
                </c:pt>
                <c:pt idx="2">
                  <c:v>14.1408</c:v>
                </c:pt>
                <c:pt idx="3">
                  <c:v>9.8352000000000004</c:v>
                </c:pt>
                <c:pt idx="4">
                  <c:v>7.8384</c:v>
                </c:pt>
                <c:pt idx="5">
                  <c:v>6.3023999999999996</c:v>
                </c:pt>
                <c:pt idx="6">
                  <c:v>4.9151999999999996</c:v>
                </c:pt>
                <c:pt idx="7">
                  <c:v>3.9167999999999998</c:v>
                </c:pt>
                <c:pt idx="8">
                  <c:v>3.0720000000000001</c:v>
                </c:pt>
                <c:pt idx="9">
                  <c:v>2.4575999999999998</c:v>
                </c:pt>
                <c:pt idx="10">
                  <c:v>1.8624000000000001</c:v>
                </c:pt>
                <c:pt idx="11">
                  <c:v>1.56</c:v>
                </c:pt>
                <c:pt idx="12">
                  <c:v>1.2527999999999999</c:v>
                </c:pt>
                <c:pt idx="13">
                  <c:v>1.2527999999999999</c:v>
                </c:pt>
                <c:pt idx="14">
                  <c:v>0.96479999999999999</c:v>
                </c:pt>
                <c:pt idx="15">
                  <c:v>0.79200000000000004</c:v>
                </c:pt>
                <c:pt idx="16">
                  <c:v>0.61919999999999997</c:v>
                </c:pt>
                <c:pt idx="17">
                  <c:v>0.61919999999999997</c:v>
                </c:pt>
                <c:pt idx="18">
                  <c:v>0.48480000000000001</c:v>
                </c:pt>
                <c:pt idx="19">
                  <c:v>0.48480000000000001</c:v>
                </c:pt>
                <c:pt idx="20">
                  <c:v>0.33119999999999999</c:v>
                </c:pt>
                <c:pt idx="21">
                  <c:v>0.31680000000000003</c:v>
                </c:pt>
                <c:pt idx="22">
                  <c:v>0.31680000000000003</c:v>
                </c:pt>
                <c:pt idx="23">
                  <c:v>0.2112</c:v>
                </c:pt>
                <c:pt idx="24">
                  <c:v>0.2112</c:v>
                </c:pt>
                <c:pt idx="25">
                  <c:v>0.16320000000000001</c:v>
                </c:pt>
                <c:pt idx="26">
                  <c:v>0.16320000000000001</c:v>
                </c:pt>
                <c:pt idx="27">
                  <c:v>0.15359999999999999</c:v>
                </c:pt>
                <c:pt idx="28">
                  <c:v>0.15359999999999999</c:v>
                </c:pt>
                <c:pt idx="29">
                  <c:v>0.15359999999999999</c:v>
                </c:pt>
                <c:pt idx="30">
                  <c:v>0.1008</c:v>
                </c:pt>
                <c:pt idx="31">
                  <c:v>0.1008</c:v>
                </c:pt>
                <c:pt idx="32">
                  <c:v>7.6799999999999993E-2</c:v>
                </c:pt>
                <c:pt idx="33">
                  <c:v>7.6799999999999993E-2</c:v>
                </c:pt>
                <c:pt idx="34">
                  <c:v>7.6799999999999993E-2</c:v>
                </c:pt>
                <c:pt idx="35">
                  <c:v>6.2399999999999997E-2</c:v>
                </c:pt>
                <c:pt idx="36">
                  <c:v>6.2399999999999997E-2</c:v>
                </c:pt>
                <c:pt idx="37">
                  <c:v>4.8000000000000001E-2</c:v>
                </c:pt>
                <c:pt idx="38">
                  <c:v>4.8000000000000001E-2</c:v>
                </c:pt>
                <c:pt idx="39">
                  <c:v>4.8000000000000001E-2</c:v>
                </c:pt>
                <c:pt idx="40">
                  <c:v>3.8399999999999997E-2</c:v>
                </c:pt>
              </c:numCache>
            </c:numRef>
          </c:val>
          <c:smooth val="0"/>
          <c:extLst>
            <c:ext xmlns:c16="http://schemas.microsoft.com/office/drawing/2014/chart" uri="{C3380CC4-5D6E-409C-BE32-E72D297353CC}">
              <c16:uniqueId val="{00000002-B3C1-490E-B32E-554A777EF9B2}"/>
            </c:ext>
          </c:extLst>
        </c:ser>
        <c:ser>
          <c:idx val="3"/>
          <c:order val="3"/>
          <c:tx>
            <c:strRef>
              <c:f>"2.6G 1T64R"</c:f>
              <c:strCache>
                <c:ptCount val="1"/>
                <c:pt idx="0">
                  <c:v>2.6G 1T64R</c:v>
                </c:pt>
              </c:strCache>
            </c:strRef>
          </c:tx>
          <c:marker>
            <c:symbol val="none"/>
          </c:marker>
          <c:cat>
            <c:numRef>
              <c:f>[LinkBudget_real3.xlsx]UL!$A$2:$A$42</c:f>
              <c:numCache>
                <c:formatCode>General</c:formatCode>
                <c:ptCount val="41"/>
                <c:pt idx="0">
                  <c:v>100</c:v>
                </c:pt>
                <c:pt idx="1">
                  <c:v>110</c:v>
                </c:pt>
                <c:pt idx="2">
                  <c:v>120</c:v>
                </c:pt>
                <c:pt idx="3">
                  <c:v>130</c:v>
                </c:pt>
                <c:pt idx="4">
                  <c:v>140</c:v>
                </c:pt>
                <c:pt idx="5">
                  <c:v>150</c:v>
                </c:pt>
                <c:pt idx="6">
                  <c:v>160</c:v>
                </c:pt>
                <c:pt idx="7">
                  <c:v>170</c:v>
                </c:pt>
                <c:pt idx="8">
                  <c:v>180</c:v>
                </c:pt>
                <c:pt idx="9">
                  <c:v>190</c:v>
                </c:pt>
                <c:pt idx="10">
                  <c:v>200</c:v>
                </c:pt>
                <c:pt idx="11">
                  <c:v>210</c:v>
                </c:pt>
                <c:pt idx="12">
                  <c:v>220</c:v>
                </c:pt>
                <c:pt idx="13">
                  <c:v>230</c:v>
                </c:pt>
                <c:pt idx="14">
                  <c:v>240</c:v>
                </c:pt>
                <c:pt idx="15">
                  <c:v>250</c:v>
                </c:pt>
                <c:pt idx="16">
                  <c:v>260</c:v>
                </c:pt>
                <c:pt idx="17">
                  <c:v>270</c:v>
                </c:pt>
                <c:pt idx="18">
                  <c:v>280</c:v>
                </c:pt>
                <c:pt idx="19">
                  <c:v>290</c:v>
                </c:pt>
                <c:pt idx="20">
                  <c:v>300</c:v>
                </c:pt>
                <c:pt idx="21">
                  <c:v>310</c:v>
                </c:pt>
                <c:pt idx="22">
                  <c:v>320</c:v>
                </c:pt>
                <c:pt idx="23">
                  <c:v>330</c:v>
                </c:pt>
                <c:pt idx="24">
                  <c:v>340</c:v>
                </c:pt>
                <c:pt idx="25">
                  <c:v>350</c:v>
                </c:pt>
                <c:pt idx="26">
                  <c:v>360</c:v>
                </c:pt>
                <c:pt idx="27">
                  <c:v>370</c:v>
                </c:pt>
                <c:pt idx="28">
                  <c:v>380</c:v>
                </c:pt>
                <c:pt idx="29">
                  <c:v>390</c:v>
                </c:pt>
                <c:pt idx="30">
                  <c:v>400</c:v>
                </c:pt>
                <c:pt idx="31">
                  <c:v>410</c:v>
                </c:pt>
                <c:pt idx="32">
                  <c:v>420</c:v>
                </c:pt>
                <c:pt idx="33">
                  <c:v>430</c:v>
                </c:pt>
                <c:pt idx="34">
                  <c:v>440</c:v>
                </c:pt>
                <c:pt idx="35">
                  <c:v>450</c:v>
                </c:pt>
                <c:pt idx="36">
                  <c:v>460</c:v>
                </c:pt>
                <c:pt idx="37">
                  <c:v>470</c:v>
                </c:pt>
                <c:pt idx="38">
                  <c:v>480</c:v>
                </c:pt>
                <c:pt idx="39">
                  <c:v>490</c:v>
                </c:pt>
                <c:pt idx="40">
                  <c:v>500</c:v>
                </c:pt>
              </c:numCache>
            </c:numRef>
          </c:cat>
          <c:val>
            <c:numRef>
              <c:f>[LinkBudget_real3.xlsx]UL!$K$2:$K$42</c:f>
              <c:numCache>
                <c:formatCode>General</c:formatCode>
                <c:ptCount val="41"/>
                <c:pt idx="0">
                  <c:v>39.345599999999997</c:v>
                </c:pt>
                <c:pt idx="1">
                  <c:v>34.425600000000003</c:v>
                </c:pt>
                <c:pt idx="2">
                  <c:v>27.662400000000002</c:v>
                </c:pt>
                <c:pt idx="3">
                  <c:v>22.137599999999999</c:v>
                </c:pt>
                <c:pt idx="4">
                  <c:v>18.436800000000002</c:v>
                </c:pt>
                <c:pt idx="5">
                  <c:v>12.9024</c:v>
                </c:pt>
                <c:pt idx="6">
                  <c:v>10.4544</c:v>
                </c:pt>
                <c:pt idx="7">
                  <c:v>8.2992000000000008</c:v>
                </c:pt>
                <c:pt idx="8">
                  <c:v>6.4560000000000004</c:v>
                </c:pt>
                <c:pt idx="9">
                  <c:v>5.2271999999999998</c:v>
                </c:pt>
                <c:pt idx="10">
                  <c:v>4.1471999999999998</c:v>
                </c:pt>
                <c:pt idx="11">
                  <c:v>4.1471999999999998</c:v>
                </c:pt>
                <c:pt idx="12">
                  <c:v>3.3024</c:v>
                </c:pt>
                <c:pt idx="13">
                  <c:v>2.6112000000000002</c:v>
                </c:pt>
                <c:pt idx="14">
                  <c:v>2.0975999999999999</c:v>
                </c:pt>
                <c:pt idx="15">
                  <c:v>2.0975999999999999</c:v>
                </c:pt>
                <c:pt idx="16">
                  <c:v>1.6752</c:v>
                </c:pt>
                <c:pt idx="17">
                  <c:v>1.2911999999999999</c:v>
                </c:pt>
                <c:pt idx="18">
                  <c:v>1.2911999999999999</c:v>
                </c:pt>
                <c:pt idx="19">
                  <c:v>1.0416000000000001</c:v>
                </c:pt>
                <c:pt idx="20">
                  <c:v>1.0416000000000001</c:v>
                </c:pt>
                <c:pt idx="21">
                  <c:v>0.84960000000000002</c:v>
                </c:pt>
                <c:pt idx="22">
                  <c:v>0.84960000000000002</c:v>
                </c:pt>
                <c:pt idx="23">
                  <c:v>0.61919999999999997</c:v>
                </c:pt>
                <c:pt idx="24">
                  <c:v>0.53280000000000005</c:v>
                </c:pt>
                <c:pt idx="25">
                  <c:v>0.53280000000000005</c:v>
                </c:pt>
                <c:pt idx="26">
                  <c:v>0.53280000000000005</c:v>
                </c:pt>
                <c:pt idx="27">
                  <c:v>0.4224</c:v>
                </c:pt>
                <c:pt idx="28">
                  <c:v>0.4224</c:v>
                </c:pt>
                <c:pt idx="29">
                  <c:v>0.31680000000000003</c:v>
                </c:pt>
                <c:pt idx="30">
                  <c:v>0.31680000000000003</c:v>
                </c:pt>
                <c:pt idx="31">
                  <c:v>0.25919999999999999</c:v>
                </c:pt>
                <c:pt idx="32">
                  <c:v>0.25919999999999999</c:v>
                </c:pt>
                <c:pt idx="33">
                  <c:v>0.2112</c:v>
                </c:pt>
                <c:pt idx="34">
                  <c:v>0.2112</c:v>
                </c:pt>
                <c:pt idx="35">
                  <c:v>0.2112</c:v>
                </c:pt>
                <c:pt idx="36">
                  <c:v>0.16320000000000001</c:v>
                </c:pt>
                <c:pt idx="37">
                  <c:v>0.16320000000000001</c:v>
                </c:pt>
                <c:pt idx="38">
                  <c:v>0.16320000000000001</c:v>
                </c:pt>
                <c:pt idx="39">
                  <c:v>0.1008</c:v>
                </c:pt>
                <c:pt idx="40">
                  <c:v>0.1008</c:v>
                </c:pt>
              </c:numCache>
            </c:numRef>
          </c:val>
          <c:smooth val="0"/>
          <c:extLst>
            <c:ext xmlns:c16="http://schemas.microsoft.com/office/drawing/2014/chart" uri="{C3380CC4-5D6E-409C-BE32-E72D297353CC}">
              <c16:uniqueId val="{00000003-B3C1-490E-B32E-554A777EF9B2}"/>
            </c:ext>
          </c:extLst>
        </c:ser>
        <c:ser>
          <c:idx val="4"/>
          <c:order val="4"/>
          <c:tx>
            <c:strRef>
              <c:f>"2.0G 1T4R"</c:f>
              <c:strCache>
                <c:ptCount val="1"/>
                <c:pt idx="0">
                  <c:v>2.0G 1T4R</c:v>
                </c:pt>
              </c:strCache>
            </c:strRef>
          </c:tx>
          <c:marker>
            <c:symbol val="none"/>
          </c:marker>
          <c:cat>
            <c:numRef>
              <c:f>[LinkBudget_real3.xlsx]UL!$A$2:$A$42</c:f>
              <c:numCache>
                <c:formatCode>General</c:formatCode>
                <c:ptCount val="41"/>
                <c:pt idx="0">
                  <c:v>100</c:v>
                </c:pt>
                <c:pt idx="1">
                  <c:v>110</c:v>
                </c:pt>
                <c:pt idx="2">
                  <c:v>120</c:v>
                </c:pt>
                <c:pt idx="3">
                  <c:v>130</c:v>
                </c:pt>
                <c:pt idx="4">
                  <c:v>140</c:v>
                </c:pt>
                <c:pt idx="5">
                  <c:v>150</c:v>
                </c:pt>
                <c:pt idx="6">
                  <c:v>160</c:v>
                </c:pt>
                <c:pt idx="7">
                  <c:v>170</c:v>
                </c:pt>
                <c:pt idx="8">
                  <c:v>180</c:v>
                </c:pt>
                <c:pt idx="9">
                  <c:v>190</c:v>
                </c:pt>
                <c:pt idx="10">
                  <c:v>200</c:v>
                </c:pt>
                <c:pt idx="11">
                  <c:v>210</c:v>
                </c:pt>
                <c:pt idx="12">
                  <c:v>220</c:v>
                </c:pt>
                <c:pt idx="13">
                  <c:v>230</c:v>
                </c:pt>
                <c:pt idx="14">
                  <c:v>240</c:v>
                </c:pt>
                <c:pt idx="15">
                  <c:v>250</c:v>
                </c:pt>
                <c:pt idx="16">
                  <c:v>260</c:v>
                </c:pt>
                <c:pt idx="17">
                  <c:v>270</c:v>
                </c:pt>
                <c:pt idx="18">
                  <c:v>280</c:v>
                </c:pt>
                <c:pt idx="19">
                  <c:v>290</c:v>
                </c:pt>
                <c:pt idx="20">
                  <c:v>300</c:v>
                </c:pt>
                <c:pt idx="21">
                  <c:v>310</c:v>
                </c:pt>
                <c:pt idx="22">
                  <c:v>320</c:v>
                </c:pt>
                <c:pt idx="23">
                  <c:v>330</c:v>
                </c:pt>
                <c:pt idx="24">
                  <c:v>340</c:v>
                </c:pt>
                <c:pt idx="25">
                  <c:v>350</c:v>
                </c:pt>
                <c:pt idx="26">
                  <c:v>360</c:v>
                </c:pt>
                <c:pt idx="27">
                  <c:v>370</c:v>
                </c:pt>
                <c:pt idx="28">
                  <c:v>380</c:v>
                </c:pt>
                <c:pt idx="29">
                  <c:v>390</c:v>
                </c:pt>
                <c:pt idx="30">
                  <c:v>400</c:v>
                </c:pt>
                <c:pt idx="31">
                  <c:v>410</c:v>
                </c:pt>
                <c:pt idx="32">
                  <c:v>420</c:v>
                </c:pt>
                <c:pt idx="33">
                  <c:v>430</c:v>
                </c:pt>
                <c:pt idx="34">
                  <c:v>440</c:v>
                </c:pt>
                <c:pt idx="35">
                  <c:v>450</c:v>
                </c:pt>
                <c:pt idx="36">
                  <c:v>460</c:v>
                </c:pt>
                <c:pt idx="37">
                  <c:v>470</c:v>
                </c:pt>
                <c:pt idx="38">
                  <c:v>480</c:v>
                </c:pt>
                <c:pt idx="39">
                  <c:v>490</c:v>
                </c:pt>
                <c:pt idx="40">
                  <c:v>500</c:v>
                </c:pt>
              </c:numCache>
            </c:numRef>
          </c:cat>
          <c:val>
            <c:numRef>
              <c:f>[LinkBudget_real3.xlsx]UL!$N$2:$N$42</c:f>
              <c:numCache>
                <c:formatCode>General</c:formatCode>
                <c:ptCount val="41"/>
                <c:pt idx="0">
                  <c:v>59.432000000000002</c:v>
                </c:pt>
                <c:pt idx="1">
                  <c:v>50.183999999999997</c:v>
                </c:pt>
                <c:pt idx="2">
                  <c:v>36.896000000000001</c:v>
                </c:pt>
                <c:pt idx="3">
                  <c:v>31.751999999999999</c:v>
                </c:pt>
                <c:pt idx="4">
                  <c:v>27.143999999999998</c:v>
                </c:pt>
                <c:pt idx="5">
                  <c:v>27.143999999999998</c:v>
                </c:pt>
                <c:pt idx="6">
                  <c:v>21.504000000000001</c:v>
                </c:pt>
                <c:pt idx="7">
                  <c:v>16.896000000000001</c:v>
                </c:pt>
                <c:pt idx="8">
                  <c:v>13.832000000000001</c:v>
                </c:pt>
                <c:pt idx="9">
                  <c:v>12.552</c:v>
                </c:pt>
                <c:pt idx="10">
                  <c:v>9.2240000000000002</c:v>
                </c:pt>
                <c:pt idx="11">
                  <c:v>7.8079999999999998</c:v>
                </c:pt>
                <c:pt idx="12">
                  <c:v>6.2720000000000002</c:v>
                </c:pt>
                <c:pt idx="13">
                  <c:v>4.6079999999999997</c:v>
                </c:pt>
                <c:pt idx="14">
                  <c:v>4.6079999999999997</c:v>
                </c:pt>
                <c:pt idx="15">
                  <c:v>3.9039999999999999</c:v>
                </c:pt>
                <c:pt idx="16">
                  <c:v>3.1040000000000001</c:v>
                </c:pt>
                <c:pt idx="17">
                  <c:v>3.1040000000000001</c:v>
                </c:pt>
                <c:pt idx="18">
                  <c:v>2.4079999999999999</c:v>
                </c:pt>
                <c:pt idx="19">
                  <c:v>1.736</c:v>
                </c:pt>
                <c:pt idx="20">
                  <c:v>1.736</c:v>
                </c:pt>
                <c:pt idx="21">
                  <c:v>1.6080000000000001</c:v>
                </c:pt>
                <c:pt idx="22">
                  <c:v>1.6080000000000001</c:v>
                </c:pt>
                <c:pt idx="23">
                  <c:v>1.1279999999999999</c:v>
                </c:pt>
                <c:pt idx="24">
                  <c:v>1.1279999999999999</c:v>
                </c:pt>
                <c:pt idx="25">
                  <c:v>0.88800000000000001</c:v>
                </c:pt>
                <c:pt idx="26">
                  <c:v>0.88800000000000001</c:v>
                </c:pt>
                <c:pt idx="27">
                  <c:v>0.80800000000000005</c:v>
                </c:pt>
                <c:pt idx="28">
                  <c:v>0.80800000000000005</c:v>
                </c:pt>
                <c:pt idx="29">
                  <c:v>0.55200000000000005</c:v>
                </c:pt>
                <c:pt idx="30">
                  <c:v>0.55200000000000005</c:v>
                </c:pt>
                <c:pt idx="31">
                  <c:v>0.55200000000000005</c:v>
                </c:pt>
                <c:pt idx="32">
                  <c:v>0.432</c:v>
                </c:pt>
                <c:pt idx="33">
                  <c:v>0.432</c:v>
                </c:pt>
                <c:pt idx="34">
                  <c:v>0.35199999999999998</c:v>
                </c:pt>
                <c:pt idx="35">
                  <c:v>0.35199999999999998</c:v>
                </c:pt>
                <c:pt idx="36">
                  <c:v>0.35199999999999998</c:v>
                </c:pt>
                <c:pt idx="37">
                  <c:v>0.27200000000000002</c:v>
                </c:pt>
                <c:pt idx="38">
                  <c:v>0.27200000000000002</c:v>
                </c:pt>
                <c:pt idx="39">
                  <c:v>0.27200000000000002</c:v>
                </c:pt>
                <c:pt idx="40">
                  <c:v>0.224</c:v>
                </c:pt>
              </c:numCache>
            </c:numRef>
          </c:val>
          <c:smooth val="0"/>
          <c:extLst>
            <c:ext xmlns:c16="http://schemas.microsoft.com/office/drawing/2014/chart" uri="{C3380CC4-5D6E-409C-BE32-E72D297353CC}">
              <c16:uniqueId val="{00000004-B3C1-490E-B32E-554A777EF9B2}"/>
            </c:ext>
          </c:extLst>
        </c:ser>
        <c:ser>
          <c:idx val="5"/>
          <c:order val="5"/>
          <c:tx>
            <c:strRef>
              <c:f>"2.0G 1T32R"</c:f>
              <c:strCache>
                <c:ptCount val="1"/>
                <c:pt idx="0">
                  <c:v>2.0G 1T32R</c:v>
                </c:pt>
              </c:strCache>
            </c:strRef>
          </c:tx>
          <c:marker>
            <c:symbol val="none"/>
          </c:marker>
          <c:cat>
            <c:numRef>
              <c:f>[LinkBudget_real3.xlsx]UL!$A$2:$A$42</c:f>
              <c:numCache>
                <c:formatCode>General</c:formatCode>
                <c:ptCount val="41"/>
                <c:pt idx="0">
                  <c:v>100</c:v>
                </c:pt>
                <c:pt idx="1">
                  <c:v>110</c:v>
                </c:pt>
                <c:pt idx="2">
                  <c:v>120</c:v>
                </c:pt>
                <c:pt idx="3">
                  <c:v>130</c:v>
                </c:pt>
                <c:pt idx="4">
                  <c:v>140</c:v>
                </c:pt>
                <c:pt idx="5">
                  <c:v>150</c:v>
                </c:pt>
                <c:pt idx="6">
                  <c:v>160</c:v>
                </c:pt>
                <c:pt idx="7">
                  <c:v>170</c:v>
                </c:pt>
                <c:pt idx="8">
                  <c:v>180</c:v>
                </c:pt>
                <c:pt idx="9">
                  <c:v>190</c:v>
                </c:pt>
                <c:pt idx="10">
                  <c:v>200</c:v>
                </c:pt>
                <c:pt idx="11">
                  <c:v>210</c:v>
                </c:pt>
                <c:pt idx="12">
                  <c:v>220</c:v>
                </c:pt>
                <c:pt idx="13">
                  <c:v>230</c:v>
                </c:pt>
                <c:pt idx="14">
                  <c:v>240</c:v>
                </c:pt>
                <c:pt idx="15">
                  <c:v>250</c:v>
                </c:pt>
                <c:pt idx="16">
                  <c:v>260</c:v>
                </c:pt>
                <c:pt idx="17">
                  <c:v>270</c:v>
                </c:pt>
                <c:pt idx="18">
                  <c:v>280</c:v>
                </c:pt>
                <c:pt idx="19">
                  <c:v>290</c:v>
                </c:pt>
                <c:pt idx="20">
                  <c:v>300</c:v>
                </c:pt>
                <c:pt idx="21">
                  <c:v>310</c:v>
                </c:pt>
                <c:pt idx="22">
                  <c:v>320</c:v>
                </c:pt>
                <c:pt idx="23">
                  <c:v>330</c:v>
                </c:pt>
                <c:pt idx="24">
                  <c:v>340</c:v>
                </c:pt>
                <c:pt idx="25">
                  <c:v>350</c:v>
                </c:pt>
                <c:pt idx="26">
                  <c:v>360</c:v>
                </c:pt>
                <c:pt idx="27">
                  <c:v>370</c:v>
                </c:pt>
                <c:pt idx="28">
                  <c:v>380</c:v>
                </c:pt>
                <c:pt idx="29">
                  <c:v>390</c:v>
                </c:pt>
                <c:pt idx="30">
                  <c:v>400</c:v>
                </c:pt>
                <c:pt idx="31">
                  <c:v>410</c:v>
                </c:pt>
                <c:pt idx="32">
                  <c:v>420</c:v>
                </c:pt>
                <c:pt idx="33">
                  <c:v>430</c:v>
                </c:pt>
                <c:pt idx="34">
                  <c:v>440</c:v>
                </c:pt>
                <c:pt idx="35">
                  <c:v>450</c:v>
                </c:pt>
                <c:pt idx="36">
                  <c:v>460</c:v>
                </c:pt>
                <c:pt idx="37">
                  <c:v>470</c:v>
                </c:pt>
                <c:pt idx="38">
                  <c:v>480</c:v>
                </c:pt>
                <c:pt idx="39">
                  <c:v>490</c:v>
                </c:pt>
                <c:pt idx="40">
                  <c:v>500</c:v>
                </c:pt>
              </c:numCache>
            </c:numRef>
          </c:cat>
          <c:val>
            <c:numRef>
              <c:f>[LinkBudget_real3.xlsx]UL!$Q$2:$Q$42</c:f>
              <c:numCache>
                <c:formatCode>General</c:formatCode>
                <c:ptCount val="41"/>
                <c:pt idx="0">
                  <c:v>69.671999999999997</c:v>
                </c:pt>
                <c:pt idx="1">
                  <c:v>59.432000000000002</c:v>
                </c:pt>
                <c:pt idx="2">
                  <c:v>47.112000000000002</c:v>
                </c:pt>
                <c:pt idx="3">
                  <c:v>39.936</c:v>
                </c:pt>
                <c:pt idx="4">
                  <c:v>34.816000000000003</c:v>
                </c:pt>
                <c:pt idx="5">
                  <c:v>30.728000000000002</c:v>
                </c:pt>
                <c:pt idx="6">
                  <c:v>27.143999999999998</c:v>
                </c:pt>
                <c:pt idx="7">
                  <c:v>25.608000000000001</c:v>
                </c:pt>
                <c:pt idx="8">
                  <c:v>19.968</c:v>
                </c:pt>
                <c:pt idx="9">
                  <c:v>16.135999999999999</c:v>
                </c:pt>
                <c:pt idx="10">
                  <c:v>13.832000000000001</c:v>
                </c:pt>
                <c:pt idx="11">
                  <c:v>11.784000000000001</c:v>
                </c:pt>
                <c:pt idx="12">
                  <c:v>9.2240000000000002</c:v>
                </c:pt>
                <c:pt idx="13">
                  <c:v>7.04</c:v>
                </c:pt>
                <c:pt idx="14">
                  <c:v>7.04</c:v>
                </c:pt>
                <c:pt idx="15">
                  <c:v>5.5039999999999996</c:v>
                </c:pt>
                <c:pt idx="16">
                  <c:v>4.6079999999999997</c:v>
                </c:pt>
                <c:pt idx="17">
                  <c:v>4.6079999999999997</c:v>
                </c:pt>
                <c:pt idx="18">
                  <c:v>3.496</c:v>
                </c:pt>
                <c:pt idx="19">
                  <c:v>2.7919999999999998</c:v>
                </c:pt>
                <c:pt idx="20">
                  <c:v>2.7919999999999998</c:v>
                </c:pt>
                <c:pt idx="21">
                  <c:v>2.4079999999999999</c:v>
                </c:pt>
                <c:pt idx="22">
                  <c:v>2.4079999999999999</c:v>
                </c:pt>
                <c:pt idx="23">
                  <c:v>1.736</c:v>
                </c:pt>
                <c:pt idx="24">
                  <c:v>1.736</c:v>
                </c:pt>
                <c:pt idx="25">
                  <c:v>1.4159999999999999</c:v>
                </c:pt>
                <c:pt idx="26">
                  <c:v>1.4159999999999999</c:v>
                </c:pt>
                <c:pt idx="27">
                  <c:v>1.1279999999999999</c:v>
                </c:pt>
                <c:pt idx="28">
                  <c:v>1.1279999999999999</c:v>
                </c:pt>
                <c:pt idx="29">
                  <c:v>0.88800000000000001</c:v>
                </c:pt>
                <c:pt idx="30">
                  <c:v>0.88800000000000001</c:v>
                </c:pt>
                <c:pt idx="31">
                  <c:v>0.88800000000000001</c:v>
                </c:pt>
                <c:pt idx="32">
                  <c:v>0.70399999999999996</c:v>
                </c:pt>
                <c:pt idx="33">
                  <c:v>0.70399999999999996</c:v>
                </c:pt>
                <c:pt idx="34">
                  <c:v>0.55200000000000005</c:v>
                </c:pt>
                <c:pt idx="35">
                  <c:v>0.55200000000000005</c:v>
                </c:pt>
                <c:pt idx="36">
                  <c:v>0.55200000000000005</c:v>
                </c:pt>
                <c:pt idx="37">
                  <c:v>0.432</c:v>
                </c:pt>
                <c:pt idx="38">
                  <c:v>0.432</c:v>
                </c:pt>
                <c:pt idx="39">
                  <c:v>0.432</c:v>
                </c:pt>
                <c:pt idx="40">
                  <c:v>0.35199999999999998</c:v>
                </c:pt>
              </c:numCache>
            </c:numRef>
          </c:val>
          <c:smooth val="0"/>
          <c:extLst>
            <c:ext xmlns:c16="http://schemas.microsoft.com/office/drawing/2014/chart" uri="{C3380CC4-5D6E-409C-BE32-E72D297353CC}">
              <c16:uniqueId val="{00000005-B3C1-490E-B32E-554A777EF9B2}"/>
            </c:ext>
          </c:extLst>
        </c:ser>
        <c:dLbls>
          <c:showLegendKey val="0"/>
          <c:showVal val="0"/>
          <c:showCatName val="0"/>
          <c:showSerName val="0"/>
          <c:showPercent val="0"/>
          <c:showBubbleSize val="0"/>
        </c:dLbls>
        <c:smooth val="0"/>
        <c:axId val="50010001"/>
        <c:axId val="50010002"/>
      </c:lineChart>
      <c:catAx>
        <c:axId val="50010001"/>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Times New Roman" panose="02020603050405020304" charset="0"/>
                    <a:ea typeface="+mn-ea"/>
                    <a:cs typeface="Times New Roman" panose="02020603050405020304" charset="0"/>
                  </a:defRPr>
                </a:pPr>
                <a:r>
                  <a:rPr lang="en-US"/>
                  <a:t>Distance  (m)</a:t>
                </a: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LID4096"/>
          </a:p>
        </c:txPr>
        <c:crossAx val="50010002"/>
        <c:crosses val="autoZero"/>
        <c:auto val="1"/>
        <c:lblAlgn val="ctr"/>
        <c:lblOffset val="100"/>
        <c:noMultiLvlLbl val="0"/>
      </c:catAx>
      <c:valAx>
        <c:axId val="50010002"/>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Times New Roman" panose="02020603050405020304" charset="0"/>
                    <a:ea typeface="+mn-ea"/>
                    <a:cs typeface="Times New Roman" panose="02020603050405020304" charset="0"/>
                  </a:defRPr>
                </a:pPr>
                <a:r>
                  <a:rPr lang="en-US"/>
                  <a:t>Throughput</a:t>
                </a: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LID4096"/>
          </a:p>
        </c:txPr>
        <c:crossAx val="50010001"/>
        <c:crosses val="autoZero"/>
        <c:crossBetween val="between"/>
      </c:valAx>
    </c:plotArea>
    <c:legend>
      <c:legendPos val="b"/>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LID4096"/>
        </a:p>
      </c:txPr>
    </c:legend>
    <c:plotVisOnly val="1"/>
    <c:dispBlanksAs val="gap"/>
    <c:showDLblsOverMax val="0"/>
  </c:chart>
  <c:txPr>
    <a:bodyPr/>
    <a:lstStyle/>
    <a:p>
      <a:pPr>
        <a:defRPr lang="zh-CN">
          <a:latin typeface="Times New Roman" panose="02020603050405020304" charset="0"/>
          <a:cs typeface="Times New Roman" panose="02020603050405020304" charset="0"/>
        </a:defRPr>
      </a:pPr>
      <a:endParaRPr lang="LID4096"/>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E9218D37-2E8C-4BB6-BFDB-333E4CA20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3575</Words>
  <Characters>20380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ZTE</vt:lpstr>
    </vt:vector>
  </TitlesOfParts>
  <LinksUpToDate>false</LinksUpToDate>
  <CharactersWithSpaces>23908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
  <cp:keywords>CTPClassification=CTP_PUBLIC:VisualMarkings=</cp:keywords>
  <cp:lastModifiedBy/>
  <cp:revision>1</cp:revision>
  <dcterms:created xsi:type="dcterms:W3CDTF">2025-06-02T19:12:00Z</dcterms:created>
  <dcterms:modified xsi:type="dcterms:W3CDTF">2025-06-02T19:12:00Z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52FE8D83D5A34BF5A5C524B2FEBCA430</vt:lpwstr>
  </property>
</Properties>
</file>